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9180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022BE6" w:rsidRPr="00271234">
        <w:tc>
          <w:tcPr>
            <w:tcW w:w="9180" w:type="dxa"/>
            <w:tcBorders>
              <w:bottom w:val="single" w:sz="4" w:space="0" w:color="auto"/>
            </w:tcBorders>
          </w:tcPr>
          <w:p w:rsidR="00022BE6" w:rsidRPr="00621663" w:rsidRDefault="00022BE6">
            <w:pPr>
              <w:rPr>
                <w:lang w:val="sv-SE"/>
              </w:rPr>
            </w:pPr>
            <w:bookmarkStart w:id="0" w:name="_GoBack"/>
            <w:bookmarkEnd w:id="0"/>
            <w:r w:rsidRPr="00621663">
              <w:rPr>
                <w:rFonts w:ascii="Helvetica" w:hAnsi="Helvetica" w:cs="Helvetica"/>
                <w:lang w:val="sv-SE"/>
              </w:rPr>
              <w:t>BILAGA 1</w:t>
            </w:r>
            <w:r w:rsidRPr="00621663">
              <w:rPr>
                <w:rFonts w:ascii="Helvetica" w:hAnsi="Helvetica" w:cs="Helvetica"/>
                <w:lang w:val="sv-SE"/>
              </w:rPr>
              <w:br/>
              <w:t>GRUNDTIMLÖNER OCH LÖNER FÖR UNGA ARBETSTAGARE</w:t>
            </w:r>
          </w:p>
        </w:tc>
      </w:tr>
    </w:tbl>
    <w:p w:rsidR="00022BE6" w:rsidRPr="00621663" w:rsidRDefault="00022BE6">
      <w:pPr>
        <w:spacing w:before="240" w:after="240"/>
        <w:rPr>
          <w:rFonts w:ascii="Helvetica" w:hAnsi="Helvetica" w:cs="Helvetica"/>
          <w:lang w:val="sv-SE"/>
        </w:rPr>
      </w:pPr>
      <w:r w:rsidRPr="00621663">
        <w:rPr>
          <w:rFonts w:ascii="Helvetica" w:hAnsi="Helvetica" w:cs="Helvetica"/>
          <w:lang w:val="sv-SE"/>
        </w:rPr>
        <w:t>Grundtimlönerna fr.o.m. 1.2.2010</w:t>
      </w:r>
    </w:p>
    <w:tbl>
      <w:tblPr>
        <w:tblW w:w="4961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268"/>
      </w:tblGrid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  <w:rPr>
                <w:rFonts w:ascii="Helvetica" w:hAnsi="Helvetica" w:cs="Helvetica"/>
                <w:lang w:val="sv-SE"/>
              </w:rPr>
            </w:pPr>
          </w:p>
        </w:tc>
        <w:tc>
          <w:tcPr>
            <w:tcW w:w="2268" w:type="dxa"/>
          </w:tcPr>
          <w:p w:rsidR="00022BE6" w:rsidRPr="00621663" w:rsidRDefault="00022BE6">
            <w:pPr>
              <w:jc w:val="right"/>
              <w:rPr>
                <w:rFonts w:ascii="Helvetica" w:hAnsi="Helvetica" w:cs="Helvetica"/>
                <w:lang w:val="sv-SE"/>
              </w:rPr>
            </w:pP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</w:pPr>
            <w:r w:rsidRPr="00621663">
              <w:rPr>
                <w:rFonts w:ascii="Helvetica" w:hAnsi="Helvetica" w:cs="Helvetica"/>
                <w:lang w:val="sv-SE"/>
              </w:rPr>
              <w:t>Lönegrupp</w:t>
            </w:r>
          </w:p>
        </w:tc>
        <w:tc>
          <w:tcPr>
            <w:tcW w:w="2268" w:type="dxa"/>
          </w:tcPr>
          <w:p w:rsidR="00022BE6" w:rsidRPr="00621663" w:rsidRDefault="00022BE6">
            <w:pPr>
              <w:jc w:val="right"/>
            </w:pPr>
            <w:r w:rsidRPr="00621663">
              <w:rPr>
                <w:rFonts w:ascii="Helvetica" w:hAnsi="Helvetica" w:cs="Helvetica"/>
                <w:lang w:val="sv-SE"/>
              </w:rPr>
              <w:t>€/timme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</w:pPr>
            <w:r w:rsidRPr="00621663">
              <w:rPr>
                <w:rFonts w:ascii="Helvetica" w:hAnsi="Helvetica" w:cs="Helvetica"/>
                <w:lang w:val="sv-SE"/>
              </w:rPr>
              <w:t>I A</w:t>
            </w:r>
          </w:p>
        </w:tc>
        <w:tc>
          <w:tcPr>
            <w:tcW w:w="2268" w:type="dxa"/>
          </w:tcPr>
          <w:p w:rsidR="00022BE6" w:rsidRPr="00621663" w:rsidRDefault="00022BE6">
            <w:pPr>
              <w:pStyle w:val="KTnYltunniste"/>
              <w:jc w:val="right"/>
            </w:pPr>
            <w:r w:rsidRPr="00621663">
              <w:rPr>
                <w:rFonts w:ascii="Helvetica" w:hAnsi="Helvetica" w:cs="Helvetica"/>
                <w:lang w:val="sv-SE"/>
              </w:rPr>
              <w:t>11,36–13,13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</w:pPr>
            <w:r w:rsidRPr="00621663">
              <w:rPr>
                <w:rFonts w:ascii="Helvetica" w:hAnsi="Helvetica" w:cs="Helvetica"/>
                <w:lang w:val="sv-SE"/>
              </w:rPr>
              <w:t>I B</w:t>
            </w:r>
          </w:p>
        </w:tc>
        <w:tc>
          <w:tcPr>
            <w:tcW w:w="2268" w:type="dxa"/>
          </w:tcPr>
          <w:p w:rsidR="00022BE6" w:rsidRPr="00621663" w:rsidRDefault="00022BE6">
            <w:pPr>
              <w:jc w:val="right"/>
            </w:pPr>
            <w:r w:rsidRPr="00621663">
              <w:rPr>
                <w:rFonts w:ascii="Helvetica" w:hAnsi="Helvetica" w:cs="Helvetica"/>
                <w:lang w:val="sv-SE"/>
              </w:rPr>
              <w:t>10,09–12,09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</w:pPr>
            <w:r w:rsidRPr="00621663">
              <w:rPr>
                <w:rFonts w:ascii="Helvetica" w:hAnsi="Helvetica" w:cs="Helvetica"/>
                <w:lang w:val="sv-SE"/>
              </w:rPr>
              <w:t>I C</w:t>
            </w:r>
          </w:p>
        </w:tc>
        <w:tc>
          <w:tcPr>
            <w:tcW w:w="2268" w:type="dxa"/>
          </w:tcPr>
          <w:p w:rsidR="00022BE6" w:rsidRPr="00621663" w:rsidRDefault="00022BE6">
            <w:pPr>
              <w:jc w:val="right"/>
            </w:pPr>
            <w:r w:rsidRPr="00621663">
              <w:rPr>
                <w:rFonts w:ascii="Helvetica" w:hAnsi="Helvetica" w:cs="Helvetica"/>
                <w:lang w:val="sv-SE"/>
              </w:rPr>
              <w:t>9,37–10,79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</w:pPr>
            <w:r w:rsidRPr="00621663">
              <w:rPr>
                <w:rFonts w:ascii="Helvetica" w:hAnsi="Helvetica" w:cs="Helvetica"/>
                <w:lang w:val="sv-SE"/>
              </w:rPr>
              <w:t>II A</w:t>
            </w:r>
          </w:p>
        </w:tc>
        <w:tc>
          <w:tcPr>
            <w:tcW w:w="2268" w:type="dxa"/>
          </w:tcPr>
          <w:p w:rsidR="00022BE6" w:rsidRPr="00621663" w:rsidRDefault="00022BE6">
            <w:pPr>
              <w:jc w:val="right"/>
            </w:pPr>
            <w:r w:rsidRPr="00621663">
              <w:rPr>
                <w:rFonts w:ascii="Helvetica" w:hAnsi="Helvetica" w:cs="Helvetica"/>
                <w:lang w:val="sv-SE"/>
              </w:rPr>
              <w:t>8,99–9,93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</w:pPr>
            <w:r w:rsidRPr="00621663">
              <w:rPr>
                <w:rFonts w:ascii="Helvetica" w:hAnsi="Helvetica" w:cs="Helvetica"/>
                <w:lang w:val="sv-SE"/>
              </w:rPr>
              <w:t>II B</w:t>
            </w:r>
          </w:p>
        </w:tc>
        <w:tc>
          <w:tcPr>
            <w:tcW w:w="2268" w:type="dxa"/>
          </w:tcPr>
          <w:p w:rsidR="00022BE6" w:rsidRPr="00621663" w:rsidRDefault="00022BE6">
            <w:pPr>
              <w:jc w:val="right"/>
            </w:pPr>
            <w:r w:rsidRPr="00621663">
              <w:rPr>
                <w:rFonts w:ascii="Helvetica" w:hAnsi="Helvetica" w:cs="Helvetica"/>
                <w:lang w:val="sv-SE"/>
              </w:rPr>
              <w:t>8,84–9,52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</w:pPr>
            <w:r w:rsidRPr="00621663">
              <w:rPr>
                <w:rFonts w:ascii="Helvetica" w:hAnsi="Helvetica" w:cs="Helvetica"/>
                <w:lang w:val="sv-SE"/>
              </w:rPr>
              <w:t xml:space="preserve">III </w:t>
            </w:r>
          </w:p>
        </w:tc>
        <w:tc>
          <w:tcPr>
            <w:tcW w:w="2268" w:type="dxa"/>
          </w:tcPr>
          <w:p w:rsidR="00022BE6" w:rsidRPr="00621663" w:rsidRDefault="00022BE6">
            <w:pPr>
              <w:jc w:val="right"/>
            </w:pPr>
            <w:r w:rsidRPr="00621663">
              <w:rPr>
                <w:rFonts w:ascii="Helvetica" w:hAnsi="Helvetica" w:cs="Helvetica"/>
                <w:lang w:val="sv-SE"/>
              </w:rPr>
              <w:t>8,65–9,1</w:t>
            </w:r>
            <w:r w:rsidRPr="00621663">
              <w:rPr>
                <w:rFonts w:ascii="Helvetica" w:hAnsi="Helvetica" w:cs="Helvetica"/>
              </w:rPr>
              <w:t>0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</w:pPr>
            <w:r w:rsidRPr="00621663">
              <w:rPr>
                <w:rFonts w:ascii="Helvetica" w:hAnsi="Helvetica" w:cs="Helvetica"/>
                <w:lang w:val="sv-SE"/>
              </w:rPr>
              <w:t>IV</w:t>
            </w:r>
            <w:r w:rsidRPr="00621663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268" w:type="dxa"/>
          </w:tcPr>
          <w:p w:rsidR="00022BE6" w:rsidRPr="00621663" w:rsidRDefault="00022BE6">
            <w:pPr>
              <w:jc w:val="right"/>
              <w:rPr>
                <w:rFonts w:ascii="Helvetica" w:hAnsi="Helvetica" w:cs="Helvetica"/>
              </w:rPr>
            </w:pPr>
            <w:r w:rsidRPr="00621663">
              <w:rPr>
                <w:rFonts w:ascii="Helvetica" w:hAnsi="Helvetica" w:cs="Helvetica"/>
              </w:rPr>
              <w:t>8,00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</w:pPr>
            <w:r w:rsidRPr="00621663">
              <w:rPr>
                <w:rFonts w:ascii="Helvetica" w:hAnsi="Helvetica" w:cs="Helvetica"/>
                <w:lang w:val="sv-SE"/>
              </w:rPr>
              <w:t>O</w:t>
            </w:r>
          </w:p>
        </w:tc>
        <w:tc>
          <w:tcPr>
            <w:tcW w:w="2268" w:type="dxa"/>
          </w:tcPr>
          <w:p w:rsidR="00022BE6" w:rsidRPr="00621663" w:rsidRDefault="00022BE6">
            <w:pPr>
              <w:jc w:val="right"/>
              <w:rPr>
                <w:rFonts w:ascii="Helvetica" w:hAnsi="Helvetica" w:cs="Helvetica"/>
              </w:rPr>
            </w:pPr>
            <w:r w:rsidRPr="00621663">
              <w:rPr>
                <w:rFonts w:ascii="Helvetica" w:hAnsi="Helvetica" w:cs="Helvetica"/>
              </w:rPr>
              <w:t>8,24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22BE6" w:rsidRPr="00621663" w:rsidRDefault="00022BE6">
            <w:pPr>
              <w:ind w:left="57"/>
              <w:rPr>
                <w:lang w:val="sv-SE"/>
              </w:rPr>
            </w:pPr>
            <w:r w:rsidRPr="00621663">
              <w:rPr>
                <w:rFonts w:ascii="Helvetica" w:hAnsi="Helvetica" w:cs="Helvetica"/>
                <w:lang w:val="sv-SE"/>
              </w:rPr>
              <w:t>Lönerna för arbets</w:t>
            </w:r>
            <w:r w:rsidRPr="00621663">
              <w:rPr>
                <w:rFonts w:ascii="Helvetica" w:hAnsi="Helvetica" w:cs="Helvetica"/>
                <w:lang w:val="sv-SE"/>
              </w:rPr>
              <w:softHyphen/>
              <w:t>tagare under 18 år</w:t>
            </w:r>
          </w:p>
        </w:tc>
        <w:tc>
          <w:tcPr>
            <w:tcW w:w="2268" w:type="dxa"/>
          </w:tcPr>
          <w:p w:rsidR="00022BE6" w:rsidRPr="00621663" w:rsidRDefault="00022BE6">
            <w:pPr>
              <w:spacing w:before="240"/>
              <w:jc w:val="right"/>
            </w:pPr>
            <w:r w:rsidRPr="00621663">
              <w:rPr>
                <w:rFonts w:ascii="Helvetica" w:hAnsi="Helvetica" w:cs="Helvetica"/>
              </w:rPr>
              <w:t>7,44–7,66</w:t>
            </w:r>
          </w:p>
        </w:tc>
      </w:tr>
    </w:tbl>
    <w:p w:rsidR="00022BE6" w:rsidRPr="00621663" w:rsidRDefault="00022BE6"/>
    <w:p w:rsidR="00022BE6" w:rsidRDefault="00022BE6">
      <w:pPr>
        <w:sectPr w:rsidR="00022BE6">
          <w:headerReference w:type="default" r:id="rId8"/>
          <w:footerReference w:type="default" r:id="rId9"/>
          <w:pgSz w:w="11906" w:h="16838" w:code="9"/>
          <w:pgMar w:top="839" w:right="1588" w:bottom="1400" w:left="1588" w:header="680" w:footer="1559" w:gutter="0"/>
          <w:cols w:space="708"/>
        </w:sectPr>
      </w:pPr>
    </w:p>
    <w:tbl>
      <w:tblPr>
        <w:tblStyle w:val="TaulukkoRuudukko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0"/>
      </w:tblGrid>
      <w:tr w:rsidR="00022BE6" w:rsidRPr="00621663">
        <w:tc>
          <w:tcPr>
            <w:tcW w:w="8870" w:type="dxa"/>
            <w:tcBorders>
              <w:bottom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</w:tabs>
              <w:outlineLvl w:val="0"/>
              <w:rPr>
                <w:lang w:val="sv-SE"/>
              </w:rPr>
            </w:pPr>
            <w:r w:rsidRPr="00621663">
              <w:rPr>
                <w:lang w:val="sv-SE"/>
              </w:rPr>
              <w:lastRenderedPageBreak/>
              <w:t>BILAGA 3</w:t>
            </w:r>
            <w:r w:rsidRPr="00621663">
              <w:rPr>
                <w:lang w:val="sv-SE"/>
              </w:rPr>
              <w:br/>
              <w:t>SÄRSKILDA TILLÄGG</w:t>
            </w:r>
          </w:p>
        </w:tc>
      </w:tr>
    </w:tbl>
    <w:p w:rsidR="00022BE6" w:rsidRPr="00621663" w:rsidRDefault="00022BE6">
      <w:pPr>
        <w:tabs>
          <w:tab w:val="left" w:pos="-1317"/>
          <w:tab w:val="left" w:pos="0"/>
          <w:tab w:val="left" w:pos="669"/>
          <w:tab w:val="left" w:pos="1520"/>
          <w:tab w:val="left" w:pos="2087"/>
        </w:tabs>
        <w:spacing w:before="240"/>
        <w:ind w:left="669" w:hanging="669"/>
        <w:jc w:val="both"/>
      </w:pPr>
      <w:r w:rsidRPr="00621663">
        <w:rPr>
          <w:lang w:val="sv-SE"/>
        </w:rPr>
        <w:t>§ 1</w:t>
      </w:r>
      <w:r w:rsidRPr="00621663">
        <w:tab/>
      </w:r>
      <w:r w:rsidRPr="00621663">
        <w:rPr>
          <w:lang w:val="sv-SE"/>
        </w:rPr>
        <w:t>Arbetserfarenhetstillägg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Om en arbetstagares skicklighet eller effektivitet i arbetet eller de krav som uppgifterna ställer avviker från den allmänna medelnivån, kan a</w:t>
      </w:r>
      <w:r w:rsidRPr="00621663">
        <w:rPr>
          <w:lang w:val="sv-SE"/>
        </w:rPr>
        <w:t>r</w:t>
      </w:r>
      <w:r w:rsidRPr="00621663">
        <w:rPr>
          <w:lang w:val="sv-SE"/>
        </w:rPr>
        <w:t>betstagaren enligt prövning betalas ett arbetserfarenhetstillägg på högst 1,38 euro. Ett arbetserfarenhetstillägg som beviljats enligt prövning kan av grundad anledning också sänkas.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Arbetserfarenhetstillägget ska ändå på basis av semesterberättigande anställningstid uppgå till 0,46 euro efter 2 års anställning, till 0,92 euro e</w:t>
      </w:r>
      <w:r w:rsidRPr="00621663">
        <w:rPr>
          <w:lang w:val="sv-SE"/>
        </w:rPr>
        <w:t>f</w:t>
      </w:r>
      <w:r w:rsidRPr="00621663">
        <w:rPr>
          <w:lang w:val="sv-SE"/>
        </w:rPr>
        <w:t>ter 4 års anställning och till 1,38 euro efter 7 års anställning. Vid uträ</w:t>
      </w:r>
      <w:r w:rsidRPr="00621663">
        <w:rPr>
          <w:lang w:val="sv-SE"/>
        </w:rPr>
        <w:t>k</w:t>
      </w:r>
      <w:r w:rsidRPr="00621663">
        <w:rPr>
          <w:lang w:val="sv-SE"/>
        </w:rPr>
        <w:t>ningen av dessa tider iakttas bestämmelserna i § 50 mom. 2 punkt 1 i ko</w:t>
      </w:r>
      <w:r w:rsidRPr="00621663">
        <w:rPr>
          <w:lang w:val="sv-SE"/>
        </w:rPr>
        <w:t>l</w:t>
      </w:r>
      <w:r w:rsidRPr="00621663">
        <w:rPr>
          <w:lang w:val="sv-SE"/>
        </w:rPr>
        <w:t xml:space="preserve">lektivavtalet. 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Arbetserfarenhetstillägget beviljas utan ansökan. Rätten till arbetserf</w:t>
      </w:r>
      <w:r w:rsidRPr="00621663">
        <w:rPr>
          <w:lang w:val="sv-SE"/>
        </w:rPr>
        <w:t>a</w:t>
      </w:r>
      <w:r w:rsidRPr="00621663">
        <w:rPr>
          <w:lang w:val="sv-SE"/>
        </w:rPr>
        <w:t>renhetstillägg börjar vid ingången av den lönebetalningsperiod som följer närmast efter den lönebetalningsperiod under vilken anställningstiden som berättigar till arbetserfarenhetstillägg har up</w:t>
      </w:r>
      <w:r w:rsidRPr="00621663">
        <w:rPr>
          <w:lang w:val="sv-SE"/>
        </w:rPr>
        <w:t>p</w:t>
      </w:r>
      <w:r w:rsidRPr="00621663">
        <w:rPr>
          <w:lang w:val="sv-SE"/>
        </w:rPr>
        <w:t>fyllts.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Arbetstagaren är skyldig att visa upp arbetsintyg för de anställningstider som arbetserfarenhetstillägget baserar sig på. Om intygen inte har lä</w:t>
      </w:r>
      <w:r w:rsidRPr="00621663">
        <w:rPr>
          <w:lang w:val="sv-SE"/>
        </w:rPr>
        <w:t>m</w:t>
      </w:r>
      <w:r w:rsidRPr="00621663">
        <w:rPr>
          <w:lang w:val="sv-SE"/>
        </w:rPr>
        <w:t>nats in i tid, betalas arbetserfarenhetstillägget re</w:t>
      </w:r>
      <w:r w:rsidRPr="00621663">
        <w:rPr>
          <w:lang w:val="sv-SE"/>
        </w:rPr>
        <w:t>t</w:t>
      </w:r>
      <w:r w:rsidRPr="00621663">
        <w:rPr>
          <w:lang w:val="sv-SE"/>
        </w:rPr>
        <w:t>roaktivt högst från början av den lönebetalningsperiod som börjar närmast efter ingången av det k</w:t>
      </w:r>
      <w:r w:rsidRPr="00621663">
        <w:rPr>
          <w:lang w:val="sv-SE"/>
        </w:rPr>
        <w:t>a</w:t>
      </w:r>
      <w:r w:rsidRPr="00621663">
        <w:rPr>
          <w:lang w:val="sv-SE"/>
        </w:rPr>
        <w:t>lenderår som föregår inlämnandet av intygen.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</w:tabs>
        <w:spacing w:before="240"/>
        <w:jc w:val="both"/>
        <w:outlineLvl w:val="0"/>
        <w:rPr>
          <w:lang w:val="sv-SE"/>
        </w:rPr>
      </w:pPr>
      <w:r w:rsidRPr="00621663">
        <w:rPr>
          <w:lang w:val="sv-SE"/>
        </w:rPr>
        <w:t>§ 2</w:t>
      </w:r>
      <w:r w:rsidRPr="00621663">
        <w:rPr>
          <w:lang w:val="sv-SE"/>
        </w:rPr>
        <w:tab/>
        <w:t>Individuellt tillägg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Till en arbetstagare som arbetar på tidlön kan betalas ett individuellt ti</w:t>
      </w:r>
      <w:r w:rsidRPr="00621663">
        <w:rPr>
          <w:lang w:val="sv-SE"/>
        </w:rPr>
        <w:t>l</w:t>
      </w:r>
      <w:r w:rsidRPr="00621663">
        <w:rPr>
          <w:lang w:val="sv-SE"/>
        </w:rPr>
        <w:t>lägg på minst 0,1 euro per timme.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Det individuella tillägget betalas för samtliga arbetade timmar. Betalnin</w:t>
      </w:r>
      <w:r w:rsidRPr="00621663">
        <w:rPr>
          <w:lang w:val="sv-SE"/>
        </w:rPr>
        <w:t>g</w:t>
      </w:r>
      <w:r w:rsidRPr="00621663">
        <w:rPr>
          <w:lang w:val="sv-SE"/>
        </w:rPr>
        <w:t>en av tillägget ska grunda sig på arbetstagarens personliga egenskaper, till exempel:</w:t>
      </w:r>
    </w:p>
    <w:p w:rsidR="00022BE6" w:rsidRPr="00621663" w:rsidRDefault="00022BE6" w:rsidP="00621663">
      <w:pPr>
        <w:numPr>
          <w:ilvl w:val="0"/>
          <w:numId w:val="1"/>
        </w:numPr>
        <w:tabs>
          <w:tab w:val="clear" w:pos="2041"/>
          <w:tab w:val="left" w:pos="0"/>
          <w:tab w:val="left" w:pos="669"/>
          <w:tab w:val="left" w:pos="1520"/>
          <w:tab w:val="left" w:pos="2087"/>
        </w:tabs>
        <w:spacing w:before="240"/>
      </w:pPr>
      <w:r w:rsidRPr="00621663">
        <w:rPr>
          <w:lang w:val="sv-SE"/>
        </w:rPr>
        <w:t>yrkesskicklighet</w:t>
      </w:r>
      <w:r w:rsidRPr="00621663">
        <w:t xml:space="preserve"> </w:t>
      </w:r>
    </w:p>
    <w:p w:rsidR="00022BE6" w:rsidRPr="00621663" w:rsidRDefault="00022BE6" w:rsidP="00621663">
      <w:pPr>
        <w:numPr>
          <w:ilvl w:val="0"/>
          <w:numId w:val="2"/>
        </w:numPr>
        <w:tabs>
          <w:tab w:val="clear" w:pos="2041"/>
          <w:tab w:val="left" w:pos="0"/>
          <w:tab w:val="left" w:pos="669"/>
          <w:tab w:val="left" w:pos="1520"/>
          <w:tab w:val="left" w:pos="2087"/>
        </w:tabs>
      </w:pPr>
      <w:r w:rsidRPr="00621663">
        <w:rPr>
          <w:lang w:val="sv-SE"/>
        </w:rPr>
        <w:t>effektivitet i arbetet</w:t>
      </w:r>
      <w:r w:rsidRPr="00621663">
        <w:t xml:space="preserve"> </w:t>
      </w:r>
    </w:p>
    <w:p w:rsidR="00022BE6" w:rsidRPr="00621663" w:rsidRDefault="00022BE6" w:rsidP="00621663">
      <w:pPr>
        <w:numPr>
          <w:ilvl w:val="0"/>
          <w:numId w:val="3"/>
        </w:numPr>
        <w:tabs>
          <w:tab w:val="clear" w:pos="2041"/>
          <w:tab w:val="left" w:pos="0"/>
          <w:tab w:val="left" w:pos="669"/>
          <w:tab w:val="left" w:pos="1520"/>
          <w:tab w:val="left" w:pos="2087"/>
        </w:tabs>
      </w:pPr>
      <w:r w:rsidRPr="00621663">
        <w:rPr>
          <w:lang w:val="sv-SE"/>
        </w:rPr>
        <w:t>arbetserfarenhet</w:t>
      </w:r>
    </w:p>
    <w:p w:rsidR="00022BE6" w:rsidRPr="00621663" w:rsidRDefault="00022BE6" w:rsidP="00621663">
      <w:pPr>
        <w:numPr>
          <w:ilvl w:val="0"/>
          <w:numId w:val="4"/>
        </w:numPr>
        <w:tabs>
          <w:tab w:val="clear" w:pos="2041"/>
          <w:tab w:val="left" w:pos="0"/>
          <w:tab w:val="left" w:pos="669"/>
          <w:tab w:val="left" w:pos="1520"/>
          <w:tab w:val="left" w:pos="2087"/>
        </w:tabs>
        <w:ind w:left="2087"/>
        <w:rPr>
          <w:lang w:val="sv-SE"/>
        </w:rPr>
      </w:pPr>
      <w:r w:rsidRPr="00621663">
        <w:rPr>
          <w:lang w:val="sv-SE"/>
        </w:rPr>
        <w:t xml:space="preserve">utbildning (t.ex. utbildning utöver den utbildning som arbetet </w:t>
      </w:r>
      <w:r w:rsidR="00621663">
        <w:rPr>
          <w:lang w:val="sv-SE"/>
        </w:rPr>
        <w:br/>
      </w:r>
      <w:r w:rsidRPr="00621663">
        <w:rPr>
          <w:lang w:val="sv-SE"/>
        </w:rPr>
        <w:t>föru</w:t>
      </w:r>
      <w:r w:rsidRPr="00621663">
        <w:rPr>
          <w:lang w:val="sv-SE"/>
        </w:rPr>
        <w:t>t</w:t>
      </w:r>
      <w:r w:rsidRPr="00621663">
        <w:rPr>
          <w:lang w:val="sv-SE"/>
        </w:rPr>
        <w:t>sätter)</w:t>
      </w:r>
    </w:p>
    <w:p w:rsidR="00022BE6" w:rsidRPr="00621663" w:rsidRDefault="00022BE6" w:rsidP="00621663">
      <w:pPr>
        <w:numPr>
          <w:ilvl w:val="0"/>
          <w:numId w:val="4"/>
        </w:numPr>
        <w:tabs>
          <w:tab w:val="clear" w:pos="2041"/>
          <w:tab w:val="left" w:pos="0"/>
          <w:tab w:val="left" w:pos="669"/>
          <w:tab w:val="left" w:pos="1520"/>
          <w:tab w:val="left" w:pos="2087"/>
        </w:tabs>
        <w:ind w:left="2087"/>
      </w:pPr>
      <w:r w:rsidRPr="00621663">
        <w:rPr>
          <w:lang w:val="sv-SE"/>
        </w:rPr>
        <w:t>verksamhet inom ansvarsfulla uppgifter.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Om de ansvarsfulla uppgifterna är temporära, betalas tillägget för denna temporära tid.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Tillägg kan dessutom betalas till arbetstagare som kontinuerligt arbetar under menliga förhållanden. Detta tillägg ska i så fall beaktas vid faststä</w:t>
      </w:r>
      <w:r w:rsidRPr="00621663">
        <w:rPr>
          <w:lang w:val="sv-SE"/>
        </w:rPr>
        <w:t>l</w:t>
      </w:r>
      <w:r w:rsidRPr="00621663">
        <w:rPr>
          <w:lang w:val="sv-SE"/>
        </w:rPr>
        <w:t>lande av storleken på ett eventuellt arbetsmiljötillägg som betalas separat.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</w:tabs>
        <w:spacing w:before="240"/>
        <w:jc w:val="both"/>
        <w:outlineLvl w:val="0"/>
        <w:rPr>
          <w:lang w:val="sv-SE"/>
        </w:rPr>
      </w:pPr>
      <w:r w:rsidRPr="00621663">
        <w:rPr>
          <w:lang w:val="sv-SE"/>
        </w:rPr>
        <w:lastRenderedPageBreak/>
        <w:t>§ 3</w:t>
      </w:r>
      <w:r w:rsidRPr="00621663">
        <w:rPr>
          <w:lang w:val="sv-SE"/>
        </w:rPr>
        <w:tab/>
        <w:t>Arbetsmiljötillägg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Till en arbetstagare som arbetar på tidlön ska, när arbetsmiljön fö</w:t>
      </w:r>
      <w:r w:rsidRPr="00621663">
        <w:rPr>
          <w:lang w:val="sv-SE"/>
        </w:rPr>
        <w:t>r</w:t>
      </w:r>
      <w:r w:rsidRPr="00621663">
        <w:rPr>
          <w:lang w:val="sv-SE"/>
        </w:rPr>
        <w:t>utsätter det, betalas ett arbetsmiljötillägg på högst 2,69 euro per timme.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Arbetsmiljötillägget betalas endast för den tid under vilken de menliga fö</w:t>
      </w:r>
      <w:r w:rsidRPr="00621663">
        <w:rPr>
          <w:lang w:val="sv-SE"/>
        </w:rPr>
        <w:t>r</w:t>
      </w:r>
      <w:r w:rsidRPr="00621663">
        <w:rPr>
          <w:lang w:val="sv-SE"/>
        </w:rPr>
        <w:t xml:space="preserve">hållandena råder. I undantagsfall kan tillägget betalas som ett genomsnitt. Betalningen av tillägget ska grunda sig på 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</w:tabs>
        <w:spacing w:before="240"/>
      </w:pPr>
      <w:r w:rsidRPr="00621663">
        <w:rPr>
          <w:lang w:val="sv-SE"/>
        </w:rPr>
        <w:t>risk för olycksfall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</w:tabs>
      </w:pPr>
      <w:r w:rsidRPr="00621663">
        <w:rPr>
          <w:lang w:val="sv-SE"/>
        </w:rPr>
        <w:t>smutsigt arbete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</w:tabs>
      </w:pPr>
      <w:r w:rsidRPr="00621663">
        <w:rPr>
          <w:lang w:val="sv-SE"/>
        </w:rPr>
        <w:t>hetta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</w:tabs>
      </w:pPr>
      <w:r w:rsidRPr="00621663">
        <w:rPr>
          <w:lang w:val="sv-SE"/>
        </w:rPr>
        <w:t>obekväma arbetsställningar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</w:tabs>
      </w:pPr>
      <w:r w:rsidRPr="00621663">
        <w:rPr>
          <w:lang w:val="sv-SE"/>
        </w:rPr>
        <w:t>andra obekväma arbetsförhållanden eller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</w:tabs>
      </w:pPr>
      <w:r w:rsidRPr="00621663">
        <w:rPr>
          <w:lang w:val="sv-SE"/>
        </w:rPr>
        <w:t>anpassning efter yrkesarbetares arbetstakt.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När man överväger tilläggets storlek ska vikten av dessa menliga faktorer beaktas.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Meningsskiljaktigheter som gäller arbetsmiljötillägg kan inte tas upp till behandling vid centrala förhandlingar enligt § 9 i det kommunala huvuda</w:t>
      </w:r>
      <w:r w:rsidRPr="00621663">
        <w:rPr>
          <w:lang w:val="sv-SE"/>
        </w:rPr>
        <w:t>v</w:t>
      </w:r>
      <w:r w:rsidRPr="00621663">
        <w:rPr>
          <w:lang w:val="sv-SE"/>
        </w:rPr>
        <w:t>talet.</w:t>
      </w:r>
    </w:p>
    <w:p w:rsidR="00022BE6" w:rsidRPr="00621663" w:rsidRDefault="00022BE6">
      <w:pPr>
        <w:rPr>
          <w:lang w:val="sv-SE"/>
        </w:rPr>
        <w:sectPr w:rsidR="00022BE6" w:rsidRPr="00621663">
          <w:headerReference w:type="default" r:id="rId10"/>
          <w:footerReference w:type="default" r:id="rId11"/>
          <w:pgSz w:w="11906" w:h="16838" w:code="9"/>
          <w:pgMar w:top="839" w:right="1588" w:bottom="1400" w:left="1588" w:header="680" w:footer="1559" w:gutter="0"/>
          <w:cols w:space="708"/>
        </w:sectPr>
      </w:pPr>
    </w:p>
    <w:tbl>
      <w:tblPr>
        <w:tblStyle w:val="TaulukkoRuudukko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0"/>
      </w:tblGrid>
      <w:tr w:rsidR="00022BE6" w:rsidRPr="00621663">
        <w:tc>
          <w:tcPr>
            <w:tcW w:w="8870" w:type="dxa"/>
            <w:tcBorders>
              <w:bottom w:val="single" w:sz="4" w:space="0" w:color="auto"/>
            </w:tcBorders>
          </w:tcPr>
          <w:p w:rsidR="00022BE6" w:rsidRPr="00621663" w:rsidRDefault="00022BE6">
            <w:pPr>
              <w:pStyle w:val="Otsikko1"/>
              <w:spacing w:before="0" w:after="0"/>
              <w:outlineLvl w:val="0"/>
              <w:rPr>
                <w:sz w:val="22"/>
                <w:szCs w:val="22"/>
              </w:rPr>
            </w:pPr>
            <w:r w:rsidRPr="00621663">
              <w:rPr>
                <w:sz w:val="22"/>
                <w:szCs w:val="22"/>
                <w:lang w:val="sv-SE"/>
              </w:rPr>
              <w:lastRenderedPageBreak/>
              <w:t>BILAGA 4</w:t>
            </w:r>
            <w:r w:rsidRPr="00621663">
              <w:rPr>
                <w:sz w:val="22"/>
                <w:szCs w:val="22"/>
                <w:lang w:val="sv-SE"/>
              </w:rPr>
              <w:br/>
              <w:t>DELACKORD</w:t>
            </w:r>
          </w:p>
        </w:tc>
      </w:tr>
    </w:tbl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jc w:val="both"/>
        <w:rPr>
          <w:lang w:val="sv-SE"/>
        </w:rPr>
      </w:pPr>
      <w:r w:rsidRPr="00621663">
        <w:rPr>
          <w:lang w:val="sv-SE"/>
        </w:rPr>
        <w:t>1</w:t>
      </w:r>
      <w:r w:rsidRPr="00621663">
        <w:rPr>
          <w:lang w:val="sv-SE"/>
        </w:rPr>
        <w:tab/>
        <w:t>Allmänt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</w:pPr>
      <w:r w:rsidRPr="00621663">
        <w:rPr>
          <w:lang w:val="sv-SE"/>
        </w:rPr>
        <w:t>Delackordlönesättningarna gäller antingen individuellt eller gruppvis. L</w:t>
      </w:r>
      <w:r w:rsidRPr="00621663">
        <w:rPr>
          <w:lang w:val="sv-SE"/>
        </w:rPr>
        <w:t>ö</w:t>
      </w:r>
      <w:r w:rsidRPr="00621663">
        <w:rPr>
          <w:lang w:val="sv-SE"/>
        </w:rPr>
        <w:t>nen består av en individuell fast del som betalas till en arbetstagare per arbetstimme och en arvodesdel som är beroende av individens eller gruppens prestationsnivå. Delackordlönesättninga</w:t>
      </w:r>
      <w:r w:rsidRPr="00621663">
        <w:rPr>
          <w:lang w:val="sv-SE"/>
        </w:rPr>
        <w:t>r</w:t>
      </w:r>
      <w:r w:rsidRPr="00621663">
        <w:rPr>
          <w:lang w:val="sv-SE"/>
        </w:rPr>
        <w:t>na innefattar bl.a.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</w:pPr>
      <w:r w:rsidRPr="00621663">
        <w:rPr>
          <w:lang w:val="sv-SE"/>
        </w:rPr>
        <w:t>arbetserfarenhetstillägg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</w:pPr>
      <w:r w:rsidRPr="00621663">
        <w:rPr>
          <w:lang w:val="sv-SE"/>
        </w:rPr>
        <w:t>individuellt tillägg och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</w:pPr>
      <w:r w:rsidRPr="00621663">
        <w:rPr>
          <w:lang w:val="sv-SE"/>
        </w:rPr>
        <w:t>arbetsmiljötillägg.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När det gäller delackord som utförts av en grupp delas arvodesdelens t</w:t>
      </w:r>
      <w:r w:rsidRPr="00621663">
        <w:rPr>
          <w:lang w:val="sv-SE"/>
        </w:rPr>
        <w:t>o</w:t>
      </w:r>
      <w:r w:rsidRPr="00621663">
        <w:rPr>
          <w:lang w:val="sv-SE"/>
        </w:rPr>
        <w:t>taltid mellan gruppmedlemmarna i förhållande till arbetsti</w:t>
      </w:r>
      <w:r w:rsidRPr="00621663">
        <w:rPr>
          <w:lang w:val="sv-SE"/>
        </w:rPr>
        <w:t>m</w:t>
      </w:r>
      <w:r w:rsidRPr="00621663">
        <w:rPr>
          <w:lang w:val="sv-SE"/>
        </w:rPr>
        <w:t>marna.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Den standardtid som utgör grund för delackordlönesättningen omfattar, om inte något annat angetts: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eventuell förberedelsetid, tid för utförandet och hjälptid (dagstandard + återhämtningstid), som består av bl.a.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</w:pPr>
      <w:r w:rsidRPr="00621663">
        <w:rPr>
          <w:lang w:val="sv-SE"/>
        </w:rPr>
        <w:t>daglig förflyttning,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rPr>
          <w:lang w:val="sv-SE"/>
        </w:rPr>
      </w:pPr>
      <w:r w:rsidRPr="00621663">
        <w:rPr>
          <w:lang w:val="sv-SE"/>
        </w:rPr>
        <w:t>hämtning och returnering av arbetsmaskiner, arbetsredskap, mater</w:t>
      </w:r>
      <w:r w:rsidRPr="00621663">
        <w:rPr>
          <w:lang w:val="sv-SE"/>
        </w:rPr>
        <w:t>i</w:t>
      </w:r>
      <w:r w:rsidRPr="00621663">
        <w:rPr>
          <w:lang w:val="sv-SE"/>
        </w:rPr>
        <w:t>al osv.,</w:t>
      </w:r>
    </w:p>
    <w:p w:rsidR="00022BE6" w:rsidRPr="00271234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rPr>
          <w:lang w:val="en-US"/>
        </w:rPr>
      </w:pPr>
      <w:r w:rsidRPr="00621663">
        <w:rPr>
          <w:lang w:val="sv-SE"/>
        </w:rPr>
        <w:t>utredning av arbetsdirektiv, rapportering o.d.,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rPr>
          <w:lang w:val="sv-SE"/>
        </w:rPr>
      </w:pPr>
      <w:r w:rsidRPr="00621663">
        <w:rPr>
          <w:lang w:val="sv-SE"/>
        </w:rPr>
        <w:t>dagligt arrangerande och skötsel av arbetsplatsen, maskinerna, re</w:t>
      </w:r>
      <w:r w:rsidRPr="00621663">
        <w:rPr>
          <w:lang w:val="sv-SE"/>
        </w:rPr>
        <w:t>d</w:t>
      </w:r>
      <w:r w:rsidRPr="00621663">
        <w:rPr>
          <w:lang w:val="sv-SE"/>
        </w:rPr>
        <w:t>skapen osv.,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rPr>
          <w:lang w:val="sv-SE"/>
        </w:rPr>
      </w:pPr>
      <w:r w:rsidRPr="00621663">
        <w:rPr>
          <w:lang w:val="sv-SE"/>
        </w:rPr>
        <w:t>på- och avklädning av särskild skyddsklädsel som arbetet kr</w:t>
      </w:r>
      <w:r w:rsidRPr="00621663">
        <w:rPr>
          <w:lang w:val="sv-SE"/>
        </w:rPr>
        <w:t>ä</w:t>
      </w:r>
      <w:r w:rsidRPr="00621663">
        <w:rPr>
          <w:lang w:val="sv-SE"/>
        </w:rPr>
        <w:t>ver,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rPr>
          <w:lang w:val="sv-SE"/>
        </w:rPr>
      </w:pPr>
      <w:r w:rsidRPr="00621663">
        <w:rPr>
          <w:lang w:val="sv-SE"/>
        </w:rPr>
        <w:t>oundviklig väntetid i anslutning till arbetet som beror på arbetets n</w:t>
      </w:r>
      <w:r w:rsidRPr="00621663">
        <w:rPr>
          <w:lang w:val="sv-SE"/>
        </w:rPr>
        <w:t>a</w:t>
      </w:r>
      <w:r w:rsidRPr="00621663">
        <w:rPr>
          <w:lang w:val="sv-SE"/>
        </w:rPr>
        <w:t>tur (inte s.k. störningstider) och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rPr>
          <w:lang w:val="sv-SE"/>
        </w:rPr>
      </w:pPr>
      <w:r w:rsidRPr="00621663">
        <w:rPr>
          <w:lang w:val="sv-SE"/>
        </w:rPr>
        <w:t>andra tider som är jämförbara med de ovan uppräknade och som inte ingår i grundtiden eller i förberedelsetiden,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rPr>
          <w:lang w:val="sv-SE"/>
        </w:rPr>
      </w:pPr>
      <w:r w:rsidRPr="00621663">
        <w:rPr>
          <w:lang w:val="sv-SE"/>
        </w:rPr>
        <w:t>återhämtningstid, vars längd beror på hur påfrestande arbetet är. De i kollektivavtalet nämnda kafferasterna och övriga personliga hjäl</w:t>
      </w:r>
      <w:r w:rsidRPr="00621663">
        <w:rPr>
          <w:lang w:val="sv-SE"/>
        </w:rPr>
        <w:t>p</w:t>
      </w:r>
      <w:r w:rsidRPr="00621663">
        <w:rPr>
          <w:lang w:val="sv-SE"/>
        </w:rPr>
        <w:t>tider, såsom uträttande av personliga behov och tvättning i synnerl</w:t>
      </w:r>
      <w:r w:rsidRPr="00621663">
        <w:rPr>
          <w:lang w:val="sv-SE"/>
        </w:rPr>
        <w:t>i</w:t>
      </w:r>
      <w:r w:rsidRPr="00621663">
        <w:rPr>
          <w:lang w:val="sv-SE"/>
        </w:rPr>
        <w:t>gen smutsiga arbeten, betraktas som åte</w:t>
      </w:r>
      <w:r w:rsidRPr="00621663">
        <w:rPr>
          <w:lang w:val="sv-SE"/>
        </w:rPr>
        <w:t>r</w:t>
      </w:r>
      <w:r w:rsidRPr="00621663">
        <w:rPr>
          <w:lang w:val="sv-SE"/>
        </w:rPr>
        <w:t>hämtningstider, vilka ingår i den totala återhämtningstiden.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rPr>
          <w:lang w:val="sv-SE"/>
        </w:rPr>
      </w:pPr>
      <w:r w:rsidRPr="00621663">
        <w:rPr>
          <w:lang w:val="sv-SE"/>
        </w:rPr>
        <w:t>2</w:t>
      </w:r>
      <w:r w:rsidRPr="00621663">
        <w:rPr>
          <w:lang w:val="sv-SE"/>
        </w:rPr>
        <w:tab/>
        <w:t>Ibruktagande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Kollektivavtalsparterna rekommenderar att ackordslön enligt delackordl</w:t>
      </w:r>
      <w:r w:rsidRPr="00621663">
        <w:rPr>
          <w:lang w:val="sv-SE"/>
        </w:rPr>
        <w:t>ö</w:t>
      </w:r>
      <w:r w:rsidRPr="00621663">
        <w:rPr>
          <w:lang w:val="sv-SE"/>
        </w:rPr>
        <w:t>nesättningen iakttas som primär löneform i arbeten över vilka det har gjorts upp en delackordlönesättning som ingår i denna bil</w:t>
      </w:r>
      <w:r w:rsidRPr="00621663">
        <w:rPr>
          <w:lang w:val="sv-SE"/>
        </w:rPr>
        <w:t>a</w:t>
      </w:r>
      <w:r w:rsidRPr="00621663">
        <w:rPr>
          <w:lang w:val="sv-SE"/>
        </w:rPr>
        <w:t>ga.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Ibruktagandet av lönesättningen avtalas lokalt.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rPr>
          <w:lang w:val="sv-SE"/>
        </w:rPr>
      </w:pPr>
      <w:r w:rsidRPr="00621663">
        <w:rPr>
          <w:lang w:val="sv-SE"/>
        </w:rPr>
        <w:t>Den utbildning och den information som behövs för att ackordlönesät</w:t>
      </w:r>
      <w:r w:rsidRPr="00621663">
        <w:rPr>
          <w:lang w:val="sv-SE"/>
        </w:rPr>
        <w:t>t</w:t>
      </w:r>
      <w:r w:rsidRPr="00621663">
        <w:rPr>
          <w:lang w:val="sv-SE"/>
        </w:rPr>
        <w:t xml:space="preserve">ningen ska kunna tas i bruk ordnas bäst genom lokalt samarbete mellan </w:t>
      </w:r>
      <w:r w:rsidRPr="00621663">
        <w:rPr>
          <w:lang w:val="sv-SE"/>
        </w:rPr>
        <w:lastRenderedPageBreak/>
        <w:t>arbetstagarna och arbetsgivaren. Avtalsparterna hjälper vid behov till med att ordna information och utbildning.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jc w:val="both"/>
        <w:rPr>
          <w:lang w:val="sv-SE"/>
        </w:rPr>
      </w:pPr>
      <w:r w:rsidRPr="00621663">
        <w:rPr>
          <w:lang w:val="sv-SE"/>
        </w:rPr>
        <w:t>3</w:t>
      </w:r>
      <w:r w:rsidRPr="00621663">
        <w:rPr>
          <w:lang w:val="sv-SE"/>
        </w:rPr>
        <w:tab/>
        <w:t>Försöksavtal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jc w:val="both"/>
        <w:rPr>
          <w:lang w:val="sv-SE"/>
        </w:rPr>
      </w:pPr>
      <w:r w:rsidRPr="00621663">
        <w:rPr>
          <w:lang w:val="sv-SE"/>
        </w:rPr>
        <w:t>Om man inte vill avtala om en varaktig användning av delackordlönesät</w:t>
      </w:r>
      <w:r w:rsidRPr="00621663">
        <w:rPr>
          <w:lang w:val="sv-SE"/>
        </w:rPr>
        <w:t>t</w:t>
      </w:r>
      <w:r w:rsidRPr="00621663">
        <w:rPr>
          <w:lang w:val="sv-SE"/>
        </w:rPr>
        <w:t>ningen rekommenderar avtalsparterna att den lokala arbetsgivaren och JHL:s lokalförening eller den förtroendeman som föreningen befullmäkt</w:t>
      </w:r>
      <w:r w:rsidRPr="00621663">
        <w:rPr>
          <w:lang w:val="sv-SE"/>
        </w:rPr>
        <w:t>i</w:t>
      </w:r>
      <w:r w:rsidRPr="00621663">
        <w:rPr>
          <w:lang w:val="sv-SE"/>
        </w:rPr>
        <w:t>gat ingår ett försöksavtal om användningen av delackordlönesättningarna. När försöksavtalet ingås ska följande principer iakttas:</w:t>
      </w:r>
    </w:p>
    <w:p w:rsidR="00022BE6" w:rsidRPr="00621663" w:rsidRDefault="00022BE6" w:rsidP="00621663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</w:pPr>
      <w:r w:rsidRPr="00621663">
        <w:rPr>
          <w:lang w:val="sv-SE"/>
        </w:rPr>
        <w:t>objekten för försöket fastställs,</w:t>
      </w:r>
    </w:p>
    <w:p w:rsidR="00022BE6" w:rsidRPr="00621663" w:rsidRDefault="00022BE6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rPr>
          <w:lang w:val="sv-SE"/>
        </w:rPr>
      </w:pPr>
      <w:r w:rsidRPr="00621663">
        <w:rPr>
          <w:lang w:val="sv-SE"/>
        </w:rPr>
        <w:t xml:space="preserve">försökets längd fastställs till en tidsperiod som är tillräcklig med tanke på arbetshelheten och </w:t>
      </w:r>
    </w:p>
    <w:p w:rsidR="00022BE6" w:rsidRPr="00621663" w:rsidRDefault="00022BE6">
      <w:pPr>
        <w:numPr>
          <w:ilvl w:val="0"/>
          <w:numId w:val="4"/>
        </w:numPr>
        <w:tabs>
          <w:tab w:val="left" w:pos="0"/>
          <w:tab w:val="left" w:pos="669"/>
          <w:tab w:val="left" w:pos="1520"/>
          <w:tab w:val="left" w:pos="2087"/>
          <w:tab w:val="left" w:pos="2654"/>
        </w:tabs>
        <w:rPr>
          <w:lang w:val="sv-SE"/>
        </w:rPr>
      </w:pPr>
      <w:r w:rsidRPr="00621663">
        <w:rPr>
          <w:lang w:val="sv-SE"/>
        </w:rPr>
        <w:t>parterna kommer överens om en garantilön som betalas under fö</w:t>
      </w:r>
      <w:r w:rsidRPr="00621663">
        <w:rPr>
          <w:lang w:val="sv-SE"/>
        </w:rPr>
        <w:t>r</w:t>
      </w:r>
      <w:r w:rsidRPr="00621663">
        <w:rPr>
          <w:lang w:val="sv-SE"/>
        </w:rPr>
        <w:t>sökstiden (den nuvarande tidlönen) om den är högre än l</w:t>
      </w:r>
      <w:r w:rsidRPr="00621663">
        <w:rPr>
          <w:lang w:val="sv-SE"/>
        </w:rPr>
        <w:t>ö</w:t>
      </w:r>
      <w:r w:rsidRPr="00621663">
        <w:rPr>
          <w:lang w:val="sv-SE"/>
        </w:rPr>
        <w:t>nen enligt delackordlönesättningen.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jc w:val="both"/>
        <w:rPr>
          <w:lang w:val="sv-SE"/>
        </w:rPr>
      </w:pPr>
      <w:r w:rsidRPr="00621663">
        <w:rPr>
          <w:lang w:val="sv-SE"/>
        </w:rPr>
        <w:t>4</w:t>
      </w:r>
      <w:r w:rsidRPr="00621663">
        <w:rPr>
          <w:lang w:val="sv-SE"/>
        </w:rPr>
        <w:tab/>
        <w:t>Dimensionering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jc w:val="both"/>
        <w:rPr>
          <w:lang w:val="sv-SE"/>
        </w:rPr>
      </w:pPr>
      <w:r w:rsidRPr="00621663">
        <w:rPr>
          <w:lang w:val="sv-SE"/>
        </w:rPr>
        <w:t>De flesta lönesättningarna förutsätter att arbetsobjekten förhandsdimen</w:t>
      </w:r>
      <w:r w:rsidRPr="00621663">
        <w:rPr>
          <w:lang w:val="sv-SE"/>
        </w:rPr>
        <w:t>s</w:t>
      </w:r>
      <w:r w:rsidRPr="00621663">
        <w:rPr>
          <w:lang w:val="sv-SE"/>
        </w:rPr>
        <w:t>ioneras och klassificeras. Dessa åtgärder utförs gemensamt av förtroe</w:t>
      </w:r>
      <w:r w:rsidRPr="00621663">
        <w:rPr>
          <w:lang w:val="sv-SE"/>
        </w:rPr>
        <w:t>n</w:t>
      </w:r>
      <w:r w:rsidRPr="00621663">
        <w:rPr>
          <w:lang w:val="sv-SE"/>
        </w:rPr>
        <w:t>demannen för de berörda arbetstagarna och en representant för arbetsg</w:t>
      </w:r>
      <w:r w:rsidRPr="00621663">
        <w:rPr>
          <w:lang w:val="sv-SE"/>
        </w:rPr>
        <w:t>i</w:t>
      </w:r>
      <w:r w:rsidRPr="00621663">
        <w:rPr>
          <w:lang w:val="sv-SE"/>
        </w:rPr>
        <w:t>varen. Dimensioneringen/klassificeringen utförs per arbetsledardistrikt e</w:t>
      </w:r>
      <w:r w:rsidRPr="00621663">
        <w:rPr>
          <w:lang w:val="sv-SE"/>
        </w:rPr>
        <w:t>l</w:t>
      </w:r>
      <w:r w:rsidRPr="00621663">
        <w:rPr>
          <w:lang w:val="sv-SE"/>
        </w:rPr>
        <w:t>ler så att den gäller andra ändamålsenliga ansvarsområden.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jc w:val="both"/>
      </w:pPr>
      <w:r w:rsidRPr="00621663">
        <w:t>5</w:t>
      </w:r>
      <w:r w:rsidRPr="00621663">
        <w:tab/>
      </w:r>
      <w:r w:rsidRPr="00621663">
        <w:rPr>
          <w:lang w:val="sv-SE"/>
        </w:rPr>
        <w:t>Ackorduträkning</w:t>
      </w:r>
    </w:p>
    <w:tbl>
      <w:tblPr>
        <w:tblW w:w="7353" w:type="dxa"/>
        <w:tblInd w:w="1423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2928"/>
        <w:gridCol w:w="4425"/>
      </w:tblGrid>
      <w:tr w:rsidR="00022BE6" w:rsidRPr="00621663" w:rsidTr="00621663">
        <w:tblPrEx>
          <w:tblCellMar>
            <w:top w:w="0" w:type="dxa"/>
            <w:bottom w:w="0" w:type="dxa"/>
          </w:tblCellMar>
        </w:tblPrEx>
        <w:tc>
          <w:tcPr>
            <w:tcW w:w="2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240" w:after="20"/>
              <w:jc w:val="both"/>
            </w:pPr>
            <w:r w:rsidRPr="00621663">
              <w:rPr>
                <w:lang w:val="sv-SE"/>
              </w:rPr>
              <w:t>Individuellt ackord: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260"/>
              <w:jc w:val="both"/>
            </w:pPr>
            <w:r w:rsidRPr="00621663">
              <w:rPr>
                <w:lang w:val="sv-SE"/>
              </w:rPr>
              <w:t>Lönen = FD + AD</w:t>
            </w:r>
          </w:p>
        </w:tc>
      </w:tr>
      <w:tr w:rsidR="00022BE6" w:rsidRPr="00621663" w:rsidTr="00621663">
        <w:tblPrEx>
          <w:tblCellMar>
            <w:top w:w="0" w:type="dxa"/>
            <w:bottom w:w="0" w:type="dxa"/>
          </w:tblCellMar>
        </w:tblPrEx>
        <w:tc>
          <w:tcPr>
            <w:tcW w:w="2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240" w:after="20"/>
              <w:jc w:val="both"/>
            </w:pPr>
            <w:r w:rsidRPr="00621663">
              <w:rPr>
                <w:lang w:val="sv-SE"/>
              </w:rPr>
              <w:t>Gruppackord: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260"/>
              <w:jc w:val="both"/>
            </w:pPr>
            <w:r w:rsidRPr="00621663">
              <w:rPr>
                <w:lang w:val="sv-SE"/>
              </w:rPr>
              <w:t xml:space="preserve">Lönen = FD + </w:t>
            </w:r>
            <w:r w:rsidRPr="00621663">
              <w:rPr>
                <w:u w:val="single"/>
                <w:lang w:val="sv-SE"/>
              </w:rPr>
              <w:t>ADG</w:t>
            </w:r>
          </w:p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t xml:space="preserve">                       </w:t>
            </w:r>
            <w:r w:rsidRPr="00621663">
              <w:rPr>
                <w:lang w:val="sv-SE"/>
              </w:rPr>
              <w:t>N</w:t>
            </w:r>
          </w:p>
        </w:tc>
      </w:tr>
    </w:tbl>
    <w:p w:rsidR="00022BE6" w:rsidRPr="00621663" w:rsidRDefault="00022BE6">
      <w:pPr>
        <w:tabs>
          <w:tab w:val="left" w:pos="1520"/>
          <w:tab w:val="left" w:pos="2654"/>
        </w:tabs>
        <w:spacing w:before="240"/>
        <w:ind w:left="2654" w:hanging="1134"/>
        <w:jc w:val="both"/>
        <w:rPr>
          <w:lang w:val="sv-SE"/>
        </w:rPr>
      </w:pPr>
      <w:r w:rsidRPr="00621663">
        <w:rPr>
          <w:lang w:val="sv-SE"/>
        </w:rPr>
        <w:t>FD =</w:t>
      </w:r>
      <w:r w:rsidRPr="00621663">
        <w:rPr>
          <w:lang w:val="sv-SE"/>
        </w:rPr>
        <w:tab/>
        <w:t>Individuell fast del som betalas per arbetstimme</w:t>
      </w:r>
    </w:p>
    <w:p w:rsidR="00022BE6" w:rsidRPr="00621663" w:rsidRDefault="00022BE6">
      <w:pPr>
        <w:tabs>
          <w:tab w:val="left" w:pos="1520"/>
          <w:tab w:val="left" w:pos="2654"/>
        </w:tabs>
        <w:spacing w:before="240"/>
        <w:ind w:left="2654" w:hanging="1134"/>
        <w:jc w:val="both"/>
        <w:rPr>
          <w:lang w:val="sv-SE"/>
        </w:rPr>
      </w:pPr>
      <w:r w:rsidRPr="00621663">
        <w:rPr>
          <w:lang w:val="sv-SE"/>
        </w:rPr>
        <w:t>AD =</w:t>
      </w:r>
      <w:r w:rsidRPr="00621663">
        <w:rPr>
          <w:lang w:val="sv-SE"/>
        </w:rPr>
        <w:tab/>
        <w:t>Den arvodesdel för en enskild arbetstagare som fås ur lön</w:t>
      </w:r>
      <w:r w:rsidRPr="00621663">
        <w:rPr>
          <w:lang w:val="sv-SE"/>
        </w:rPr>
        <w:t>e</w:t>
      </w:r>
      <w:r w:rsidRPr="00621663">
        <w:rPr>
          <w:lang w:val="sv-SE"/>
        </w:rPr>
        <w:t>sättningen</w:t>
      </w:r>
    </w:p>
    <w:p w:rsidR="00022BE6" w:rsidRPr="00621663" w:rsidRDefault="00022BE6">
      <w:pPr>
        <w:tabs>
          <w:tab w:val="left" w:pos="1520"/>
          <w:tab w:val="left" w:pos="2654"/>
        </w:tabs>
        <w:spacing w:before="240"/>
        <w:ind w:left="2654" w:hanging="1134"/>
        <w:jc w:val="both"/>
        <w:rPr>
          <w:lang w:val="sv-SE"/>
        </w:rPr>
      </w:pPr>
      <w:r w:rsidRPr="00621663">
        <w:rPr>
          <w:lang w:val="sv-SE"/>
        </w:rPr>
        <w:t xml:space="preserve">ADG = </w:t>
      </w:r>
      <w:r w:rsidRPr="00621663">
        <w:rPr>
          <w:lang w:val="sv-SE"/>
        </w:rPr>
        <w:tab/>
        <w:t>Den arvodesdel som fås ur lönesättningen för en arbet</w:t>
      </w:r>
      <w:r w:rsidRPr="00621663">
        <w:rPr>
          <w:lang w:val="sv-SE"/>
        </w:rPr>
        <w:t>s</w:t>
      </w:r>
      <w:r w:rsidRPr="00621663">
        <w:rPr>
          <w:lang w:val="sv-SE"/>
        </w:rPr>
        <w:t>grupp bestående av två eller flera arbetstagare</w:t>
      </w:r>
    </w:p>
    <w:p w:rsidR="00022BE6" w:rsidRPr="00621663" w:rsidRDefault="00022BE6">
      <w:pPr>
        <w:tabs>
          <w:tab w:val="left" w:pos="1520"/>
          <w:tab w:val="left" w:pos="2654"/>
        </w:tabs>
        <w:spacing w:before="240"/>
        <w:ind w:left="2654" w:hanging="1134"/>
        <w:jc w:val="both"/>
        <w:rPr>
          <w:lang w:val="sv-SE"/>
        </w:rPr>
      </w:pPr>
      <w:r w:rsidRPr="00621663">
        <w:rPr>
          <w:lang w:val="sv-SE"/>
        </w:rPr>
        <w:t>N =</w:t>
      </w:r>
      <w:r w:rsidRPr="00621663">
        <w:rPr>
          <w:lang w:val="sv-SE"/>
        </w:rPr>
        <w:tab/>
        <w:t>Antalet gruppmedlemmar (timantalet detsamma)</w:t>
      </w:r>
    </w:p>
    <w:p w:rsidR="00022BE6" w:rsidRPr="00621663" w:rsidRDefault="00022BE6" w:rsidP="00621663">
      <w:pPr>
        <w:keepNext/>
        <w:keepLines/>
        <w:widowControl w:val="0"/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jc w:val="both"/>
        <w:rPr>
          <w:lang w:val="sv-SE"/>
        </w:rPr>
      </w:pPr>
      <w:r w:rsidRPr="00621663">
        <w:rPr>
          <w:lang w:val="sv-SE"/>
        </w:rPr>
        <w:lastRenderedPageBreak/>
        <w:t>6</w:t>
      </w:r>
      <w:r w:rsidRPr="00621663">
        <w:rPr>
          <w:lang w:val="sv-SE"/>
        </w:rPr>
        <w:tab/>
        <w:t>Inkomstmål</w:t>
      </w:r>
    </w:p>
    <w:p w:rsidR="00022BE6" w:rsidRPr="00621663" w:rsidRDefault="00022BE6" w:rsidP="00621663">
      <w:pPr>
        <w:keepNext/>
        <w:keepLines/>
        <w:widowControl w:val="0"/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 w:after="240"/>
        <w:ind w:left="1520"/>
        <w:jc w:val="both"/>
        <w:rPr>
          <w:lang w:val="sv-SE"/>
        </w:rPr>
      </w:pPr>
      <w:r w:rsidRPr="00621663">
        <w:rPr>
          <w:lang w:val="sv-SE"/>
        </w:rPr>
        <w:t>I ackordsavlönat arbete är inkomstmålet en så stor inkomst per timme som samordnat avtalas på lokal nivå för olika yrken inom följande grä</w:t>
      </w:r>
      <w:r w:rsidRPr="00621663">
        <w:rPr>
          <w:lang w:val="sv-SE"/>
        </w:rPr>
        <w:t>n</w:t>
      </w:r>
      <w:r w:rsidRPr="00621663">
        <w:rPr>
          <w:lang w:val="sv-SE"/>
        </w:rPr>
        <w:t>ser, om inte lönenivån av särskilda skäl förutsätter något annat:</w:t>
      </w:r>
    </w:p>
    <w:tbl>
      <w:tblPr>
        <w:tblW w:w="7230" w:type="dxa"/>
        <w:tblInd w:w="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079"/>
        <w:gridCol w:w="2017"/>
      </w:tblGrid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 w:rsidP="00621663">
            <w:pPr>
              <w:keepNext/>
              <w:keepLines/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  <w:rPr>
                <w:lang w:val="sv-SE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 w:rsidP="00621663">
            <w:pPr>
              <w:keepNext/>
              <w:keepLines/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  <w:rPr>
                <w:lang w:val="sv-S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 w:rsidP="00621663">
            <w:pPr>
              <w:keepNext/>
              <w:keepLines/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</w:pPr>
            <w:r w:rsidRPr="00621663">
              <w:rPr>
                <w:lang w:val="sv-SE"/>
              </w:rPr>
              <w:t>€/timme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 w:rsidP="00621663">
            <w:pPr>
              <w:keepNext/>
              <w:keepLines/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</w:pPr>
            <w:r w:rsidRPr="00621663">
              <w:rPr>
                <w:lang w:val="sv-SE"/>
              </w:rPr>
              <w:t>Nivå 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 w:rsidP="00621663">
            <w:pPr>
              <w:keepNext/>
              <w:keepLines/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</w:pPr>
            <w:r w:rsidRPr="00621663">
              <w:rPr>
                <w:lang w:val="sv-SE"/>
              </w:rPr>
              <w:t>Elmontör, transformatormontör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 w:rsidP="00621663">
            <w:pPr>
              <w:keepNext/>
              <w:keepLines/>
            </w:pPr>
            <w:r w:rsidRPr="00621663">
              <w:t>14,97–18,54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</w:pPr>
            <w:r w:rsidRPr="00621663">
              <w:rPr>
                <w:lang w:val="sv-SE"/>
              </w:rPr>
              <w:t>Nivå II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</w:pPr>
            <w:r w:rsidRPr="00621663">
              <w:rPr>
                <w:lang w:val="sv-SE"/>
              </w:rPr>
              <w:t>Äldre yrkesarbetare, väghyvelförare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r w:rsidRPr="00621663">
              <w:t>13,41–16,57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</w:pPr>
            <w:r w:rsidRPr="00621663">
              <w:rPr>
                <w:lang w:val="sv-SE"/>
              </w:rPr>
              <w:t>Nivå III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  <w:rPr>
                <w:lang w:val="sv-SE"/>
              </w:rPr>
            </w:pPr>
            <w:r w:rsidRPr="00621663">
              <w:rPr>
                <w:lang w:val="sv-SE"/>
              </w:rPr>
              <w:t>Yngre elmontör, frontlastar- och lastbil</w:t>
            </w:r>
            <w:r w:rsidRPr="00621663">
              <w:rPr>
                <w:lang w:val="sv-SE"/>
              </w:rPr>
              <w:t>s</w:t>
            </w:r>
            <w:r w:rsidRPr="00621663">
              <w:rPr>
                <w:lang w:val="sv-SE"/>
              </w:rPr>
              <w:t>förare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r w:rsidRPr="00621663">
              <w:t>12,87–15,10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</w:pPr>
            <w:r w:rsidRPr="00621663">
              <w:rPr>
                <w:lang w:val="sv-SE"/>
              </w:rPr>
              <w:t>Nivå IV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</w:pPr>
            <w:r w:rsidRPr="00621663">
              <w:rPr>
                <w:lang w:val="sv-SE"/>
              </w:rPr>
              <w:t>Yngre yrkesarbetare, traktorförare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r w:rsidRPr="00621663">
              <w:t>12,30–14,38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</w:pPr>
            <w:r w:rsidRPr="00621663">
              <w:rPr>
                <w:lang w:val="sv-SE"/>
              </w:rPr>
              <w:t>Nivå V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  <w:rPr>
                <w:lang w:val="sv-SE"/>
              </w:rPr>
            </w:pPr>
            <w:r w:rsidRPr="00621663">
              <w:rPr>
                <w:lang w:val="sv-SE"/>
              </w:rPr>
              <w:t>Fullt yrkeskunnig parkarbetare, divers</w:t>
            </w:r>
            <w:r w:rsidRPr="00621663">
              <w:rPr>
                <w:lang w:val="sv-SE"/>
              </w:rPr>
              <w:t>e</w:t>
            </w:r>
            <w:r w:rsidRPr="00621663">
              <w:rPr>
                <w:lang w:val="sv-SE"/>
              </w:rPr>
              <w:t>arbetare och hjälpkarl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r w:rsidRPr="00621663">
              <w:t>11,43–13,33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</w:pPr>
            <w:r w:rsidRPr="00621663">
              <w:rPr>
                <w:lang w:val="sv-SE"/>
              </w:rPr>
              <w:t>Nivå VI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  <w:tab w:val="left" w:pos="7190"/>
              </w:tabs>
              <w:rPr>
                <w:lang w:val="sv-SE"/>
              </w:rPr>
            </w:pPr>
            <w:r w:rsidRPr="00621663">
              <w:rPr>
                <w:lang w:val="sv-SE"/>
              </w:rPr>
              <w:t>Park- och trädgårdsarbetare samt de arbetstagare som finns nämnda i l</w:t>
            </w:r>
            <w:r w:rsidRPr="00621663">
              <w:rPr>
                <w:lang w:val="sv-SE"/>
              </w:rPr>
              <w:t>ö</w:t>
            </w:r>
            <w:r w:rsidRPr="00621663">
              <w:rPr>
                <w:lang w:val="sv-SE"/>
              </w:rPr>
              <w:t>negrupp IV i bilaga 2 i kollektiva</w:t>
            </w:r>
            <w:r w:rsidRPr="00621663">
              <w:rPr>
                <w:lang w:val="sv-SE"/>
              </w:rPr>
              <w:t>v</w:t>
            </w:r>
            <w:r w:rsidRPr="00621663">
              <w:rPr>
                <w:lang w:val="sv-SE"/>
              </w:rPr>
              <w:t>talet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r w:rsidRPr="00621663">
              <w:t>10,44–12,14</w:t>
            </w:r>
          </w:p>
        </w:tc>
      </w:tr>
    </w:tbl>
    <w:p w:rsidR="00022BE6" w:rsidRPr="00621663" w:rsidRDefault="00022BE6">
      <w:pPr>
        <w:keepNext/>
        <w:keepLines/>
        <w:widowControl w:val="0"/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jc w:val="both"/>
      </w:pPr>
      <w:r w:rsidRPr="00621663">
        <w:t>7</w:t>
      </w:r>
      <w:r w:rsidRPr="00621663">
        <w:tab/>
      </w:r>
      <w:r w:rsidRPr="00621663">
        <w:rPr>
          <w:lang w:val="sv-SE"/>
        </w:rPr>
        <w:t>Fasta delar</w:t>
      </w:r>
    </w:p>
    <w:p w:rsidR="00022BE6" w:rsidRPr="00621663" w:rsidRDefault="00022BE6">
      <w:pPr>
        <w:widowControl w:val="0"/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 w:after="240"/>
        <w:ind w:left="1520"/>
        <w:jc w:val="both"/>
        <w:rPr>
          <w:lang w:val="sv-SE"/>
        </w:rPr>
      </w:pPr>
      <w:r w:rsidRPr="00621663">
        <w:rPr>
          <w:lang w:val="sv-SE"/>
        </w:rPr>
        <w:t>Den fasta del som per arbetstimme betalas till en arbetstagare u</w:t>
      </w:r>
      <w:r w:rsidRPr="00621663">
        <w:rPr>
          <w:lang w:val="sv-SE"/>
        </w:rPr>
        <w:t>t</w:t>
      </w:r>
      <w:r w:rsidRPr="00621663">
        <w:rPr>
          <w:lang w:val="sv-SE"/>
        </w:rPr>
        <w:t>gör 65 % av inkomstmålet (0,65 x inkomstmålet). Minimi- och ma</w:t>
      </w:r>
      <w:r w:rsidRPr="00621663">
        <w:rPr>
          <w:lang w:val="sv-SE"/>
        </w:rPr>
        <w:t>x</w:t>
      </w:r>
      <w:r w:rsidRPr="00621663">
        <w:rPr>
          <w:lang w:val="sv-SE"/>
        </w:rPr>
        <w:t>imivärdena för de fasta delarna enligt nivågrupperingen är följande:</w:t>
      </w:r>
    </w:p>
    <w:tbl>
      <w:tblPr>
        <w:tblW w:w="5534" w:type="dxa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2126"/>
      </w:tblGrid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keepNext/>
              <w:keepLines/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120"/>
              <w:jc w:val="both"/>
              <w:rPr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jc w:val="right"/>
            </w:pPr>
            <w:r w:rsidRPr="00621663">
              <w:rPr>
                <w:lang w:val="sv-SE"/>
              </w:rPr>
              <w:t>€/timme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keepNext/>
              <w:keepLines/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120"/>
              <w:jc w:val="both"/>
            </w:pPr>
            <w:r w:rsidRPr="00621663">
              <w:rPr>
                <w:lang w:val="sv-SE"/>
              </w:rPr>
              <w:t>Nivå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jc w:val="right"/>
            </w:pPr>
            <w:r w:rsidRPr="00621663">
              <w:t>9,73–12,05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keepNext/>
              <w:keepLines/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120"/>
              <w:jc w:val="both"/>
            </w:pPr>
            <w:r w:rsidRPr="00621663">
              <w:rPr>
                <w:lang w:val="sv-SE"/>
              </w:rPr>
              <w:t>Nivå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jc w:val="right"/>
            </w:pPr>
            <w:r w:rsidRPr="00621663">
              <w:t>8,72–10,77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keepNext/>
              <w:keepLines/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120"/>
              <w:jc w:val="both"/>
            </w:pPr>
            <w:r w:rsidRPr="00621663">
              <w:rPr>
                <w:lang w:val="sv-SE"/>
              </w:rPr>
              <w:t>Nivå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jc w:val="right"/>
            </w:pPr>
            <w:r w:rsidRPr="00621663">
              <w:t>8,37–9,82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120"/>
              <w:jc w:val="both"/>
            </w:pPr>
            <w:r w:rsidRPr="00621663">
              <w:rPr>
                <w:lang w:val="sv-SE"/>
              </w:rPr>
              <w:t>Nivå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jc w:val="right"/>
            </w:pPr>
            <w:r w:rsidRPr="00621663">
              <w:t>8,00–9,35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120"/>
              <w:jc w:val="both"/>
            </w:pPr>
            <w:r w:rsidRPr="00621663">
              <w:rPr>
                <w:lang w:val="sv-SE"/>
              </w:rPr>
              <w:t>Nivå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jc w:val="right"/>
            </w:pPr>
            <w:r w:rsidRPr="00621663">
              <w:t>7,43–8,66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spacing w:before="120"/>
              <w:jc w:val="both"/>
            </w:pPr>
            <w:r w:rsidRPr="00621663">
              <w:rPr>
                <w:lang w:val="sv-SE"/>
              </w:rPr>
              <w:t>Nivå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jc w:val="right"/>
            </w:pPr>
            <w:r w:rsidRPr="00621663">
              <w:t>6,79–7,89</w:t>
            </w:r>
          </w:p>
        </w:tc>
      </w:tr>
    </w:tbl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jc w:val="both"/>
        <w:rPr>
          <w:lang w:val="sv-SE"/>
        </w:rPr>
      </w:pPr>
      <w:r w:rsidRPr="00621663">
        <w:rPr>
          <w:lang w:val="sv-SE"/>
        </w:rPr>
        <w:t>8</w:t>
      </w:r>
      <w:r w:rsidRPr="00621663">
        <w:rPr>
          <w:lang w:val="sv-SE"/>
        </w:rPr>
        <w:tab/>
        <w:t>Koefficienter för omräkning i pengar</w:t>
      </w:r>
    </w:p>
    <w:p w:rsidR="00022BE6" w:rsidRPr="00621663" w:rsidRDefault="00022BE6" w:rsidP="00621663">
      <w:pPr>
        <w:widowControl w:val="0"/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jc w:val="both"/>
        <w:rPr>
          <w:lang w:val="sv-SE"/>
        </w:rPr>
      </w:pPr>
      <w:r w:rsidRPr="00621663">
        <w:rPr>
          <w:lang w:val="sv-SE"/>
        </w:rPr>
        <w:t>Den arvodesdel som betalas till en arbetstagare på basis av arbetspr</w:t>
      </w:r>
      <w:r w:rsidRPr="00621663">
        <w:rPr>
          <w:lang w:val="sv-SE"/>
        </w:rPr>
        <w:t>e</w:t>
      </w:r>
      <w:r w:rsidRPr="00621663">
        <w:rPr>
          <w:lang w:val="sv-SE"/>
        </w:rPr>
        <w:t>station är 35 % av inkomstmålet när arbetstagarens arbetsprestationsnivå överensstämmer med normal ackordtakt. Lönesättningen i fråga om a</w:t>
      </w:r>
      <w:r w:rsidRPr="00621663">
        <w:rPr>
          <w:lang w:val="sv-SE"/>
        </w:rPr>
        <w:t>r</w:t>
      </w:r>
      <w:r w:rsidRPr="00621663">
        <w:rPr>
          <w:lang w:val="sv-SE"/>
        </w:rPr>
        <w:t>vodesdelen har angetts i tid (minuter). För lönebetalningen ska den intj</w:t>
      </w:r>
      <w:r w:rsidRPr="00621663">
        <w:rPr>
          <w:lang w:val="sv-SE"/>
        </w:rPr>
        <w:t>ä</w:t>
      </w:r>
      <w:r w:rsidRPr="00621663">
        <w:rPr>
          <w:lang w:val="sv-SE"/>
        </w:rPr>
        <w:t xml:space="preserve">nade tiden omräknas i euro. Omräkningen till euro sker med hjälp av en koefficient för omräkning i pengar (hur mycket en minut är värd i pengar), vilket innebär att det lokalt avtalade inkomstmålet multipliceras med 0,0058333 (0,35/60). 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 w:after="240"/>
        <w:ind w:left="1520"/>
        <w:jc w:val="both"/>
        <w:rPr>
          <w:lang w:val="sv-SE"/>
        </w:rPr>
      </w:pPr>
      <w:r w:rsidRPr="00621663">
        <w:rPr>
          <w:lang w:val="sv-SE"/>
        </w:rPr>
        <w:t>Minimi- och maximivärdena för koefficienterna för omräkning i pengar e</w:t>
      </w:r>
      <w:r w:rsidRPr="00621663">
        <w:rPr>
          <w:lang w:val="sv-SE"/>
        </w:rPr>
        <w:t>n</w:t>
      </w:r>
      <w:r w:rsidRPr="00621663">
        <w:rPr>
          <w:lang w:val="sv-SE"/>
        </w:rPr>
        <w:t>ligt nivågrupperingen är följande:</w:t>
      </w:r>
    </w:p>
    <w:tbl>
      <w:tblPr>
        <w:tblW w:w="6385" w:type="dxa"/>
        <w:tblInd w:w="1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2977"/>
      </w:tblGrid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  <w:rPr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rPr>
                <w:lang w:val="sv-SE"/>
              </w:rPr>
              <w:t>€/min.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rPr>
                <w:lang w:val="sv-SE"/>
              </w:rPr>
              <w:t>Nivå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t>0,08733–0,10815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rPr>
                <w:lang w:val="sv-SE"/>
              </w:rPr>
              <w:t>Nivå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t>0,07823–0,09666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rPr>
                <w:lang w:val="sv-SE"/>
              </w:rPr>
              <w:t>Nivå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t>0,07508–0,08808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rPr>
                <w:lang w:val="sv-SE"/>
              </w:rPr>
              <w:t>Nivå 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t>0,07175–0,08388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rPr>
                <w:lang w:val="sv-SE"/>
              </w:rPr>
              <w:t>Nivå 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t>0,06668–0,07776</w:t>
            </w:r>
          </w:p>
        </w:tc>
      </w:tr>
      <w:tr w:rsidR="00022BE6" w:rsidRPr="00621663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rPr>
                <w:lang w:val="sv-SE"/>
              </w:rPr>
              <w:t>Nivå 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BE6" w:rsidRPr="00621663" w:rsidRDefault="00022BE6">
            <w:pPr>
              <w:tabs>
                <w:tab w:val="left" w:pos="0"/>
                <w:tab w:val="left" w:pos="669"/>
                <w:tab w:val="left" w:pos="1520"/>
                <w:tab w:val="left" w:pos="2087"/>
                <w:tab w:val="left" w:pos="2654"/>
              </w:tabs>
              <w:jc w:val="both"/>
            </w:pPr>
            <w:r w:rsidRPr="00621663">
              <w:t>0,06090–0,07082</w:t>
            </w:r>
          </w:p>
        </w:tc>
      </w:tr>
    </w:tbl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jc w:val="both"/>
      </w:pPr>
      <w:r w:rsidRPr="00621663">
        <w:t>9</w:t>
      </w:r>
      <w:r w:rsidRPr="00621663">
        <w:tab/>
      </w:r>
      <w:r w:rsidRPr="00621663">
        <w:rPr>
          <w:lang w:val="sv-SE"/>
        </w:rPr>
        <w:t>Delackordlönesättningarna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jc w:val="both"/>
        <w:rPr>
          <w:lang w:val="sv-SE"/>
        </w:rPr>
      </w:pPr>
      <w:r w:rsidRPr="00621663">
        <w:rPr>
          <w:lang w:val="sv-SE"/>
        </w:rPr>
        <w:t>Delackordlönesättningarna framgår av den separata lönesättningsboken från år 2003 som är en del av denna bilaga.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jc w:val="both"/>
        <w:rPr>
          <w:lang w:val="sv-SE"/>
        </w:rPr>
      </w:pPr>
      <w:r w:rsidRPr="00621663">
        <w:rPr>
          <w:lang w:val="sv-SE"/>
        </w:rPr>
        <w:t>Alla ackordtider har angetts i minuter enligt nivån för normal ackor</w:t>
      </w:r>
      <w:r w:rsidRPr="00621663">
        <w:rPr>
          <w:lang w:val="sv-SE"/>
        </w:rPr>
        <w:t>d</w:t>
      </w:r>
      <w:r w:rsidRPr="00621663">
        <w:rPr>
          <w:lang w:val="sv-SE"/>
        </w:rPr>
        <w:t>takt.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jc w:val="both"/>
        <w:rPr>
          <w:lang w:val="sv-SE"/>
        </w:rPr>
      </w:pPr>
      <w:r w:rsidRPr="00621663">
        <w:rPr>
          <w:lang w:val="sv-SE"/>
        </w:rPr>
        <w:t xml:space="preserve">Lönesättningarna har inom huvudindelningen grupperats med numrering för de enskilda arbetena. Om lönesättningen har uppgjorts lokalt, dvs. endast i fråga om ett objekt, har tecknet *) lagts till efter numreringen. </w:t>
      </w:r>
    </w:p>
    <w:p w:rsid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jc w:val="both"/>
        <w:rPr>
          <w:lang w:val="sv-SE"/>
        </w:rPr>
      </w:pPr>
      <w:r w:rsidRPr="00621663">
        <w:rPr>
          <w:lang w:val="sv-SE"/>
        </w:rPr>
        <w:t>Huvudindelning: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spacing w:before="240"/>
        <w:ind w:left="1520"/>
        <w:jc w:val="both"/>
        <w:rPr>
          <w:lang w:val="sv-SE"/>
        </w:rPr>
      </w:pPr>
      <w:r w:rsidRPr="00621663">
        <w:rPr>
          <w:lang w:val="sv-SE"/>
        </w:rPr>
        <w:t>A</w:t>
      </w:r>
      <w:r w:rsidRPr="00621663">
        <w:rPr>
          <w:lang w:val="sv-SE"/>
        </w:rPr>
        <w:tab/>
        <w:t>Underhåll av gator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ind w:left="2087" w:hanging="567"/>
        <w:jc w:val="both"/>
        <w:rPr>
          <w:lang w:val="sv-SE"/>
        </w:rPr>
      </w:pPr>
      <w:r w:rsidRPr="00621663">
        <w:rPr>
          <w:lang w:val="sv-SE"/>
        </w:rPr>
        <w:t>B</w:t>
      </w:r>
      <w:r w:rsidRPr="00621663">
        <w:rPr>
          <w:lang w:val="sv-SE"/>
        </w:rPr>
        <w:tab/>
        <w:t>Renhållning av gator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ind w:left="2087" w:hanging="567"/>
        <w:jc w:val="both"/>
        <w:rPr>
          <w:lang w:val="sv-SE"/>
        </w:rPr>
      </w:pPr>
      <w:r w:rsidRPr="00621663">
        <w:rPr>
          <w:lang w:val="sv-SE"/>
        </w:rPr>
        <w:t>C</w:t>
      </w:r>
      <w:r w:rsidRPr="00621663">
        <w:rPr>
          <w:lang w:val="sv-SE"/>
        </w:rPr>
        <w:tab/>
        <w:t>Parkarbeten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ind w:left="2087" w:hanging="567"/>
        <w:jc w:val="both"/>
        <w:rPr>
          <w:lang w:val="sv-SE"/>
        </w:rPr>
      </w:pPr>
      <w:r w:rsidRPr="00621663">
        <w:rPr>
          <w:lang w:val="sv-SE"/>
        </w:rPr>
        <w:t>D</w:t>
      </w:r>
      <w:r w:rsidRPr="00621663">
        <w:rPr>
          <w:lang w:val="sv-SE"/>
        </w:rPr>
        <w:tab/>
        <w:t>Totalrenovering av byggnader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ind w:left="2087" w:hanging="567"/>
        <w:jc w:val="both"/>
        <w:rPr>
          <w:lang w:val="sv-SE"/>
        </w:rPr>
      </w:pPr>
      <w:r w:rsidRPr="00621663">
        <w:rPr>
          <w:lang w:val="sv-SE"/>
        </w:rPr>
        <w:t>E</w:t>
      </w:r>
      <w:r w:rsidRPr="00621663">
        <w:rPr>
          <w:lang w:val="sv-SE"/>
        </w:rPr>
        <w:tab/>
        <w:t>Byggande av luftledningar och jordkablar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ind w:left="2087" w:hanging="567"/>
        <w:jc w:val="both"/>
        <w:rPr>
          <w:lang w:val="sv-SE"/>
        </w:rPr>
      </w:pPr>
      <w:r w:rsidRPr="00621663">
        <w:rPr>
          <w:lang w:val="sv-SE"/>
        </w:rPr>
        <w:t>F</w:t>
      </w:r>
      <w:r w:rsidRPr="00621663">
        <w:rPr>
          <w:lang w:val="sv-SE"/>
        </w:rPr>
        <w:tab/>
        <w:t>Montering av gatu- och parkbelysningsanordningar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ind w:left="2087" w:hanging="567"/>
        <w:jc w:val="both"/>
        <w:rPr>
          <w:lang w:val="sv-SE"/>
        </w:rPr>
      </w:pPr>
      <w:r w:rsidRPr="00621663">
        <w:rPr>
          <w:lang w:val="sv-SE"/>
        </w:rPr>
        <w:t>G</w:t>
      </w:r>
      <w:r w:rsidRPr="00621663">
        <w:rPr>
          <w:lang w:val="sv-SE"/>
        </w:rPr>
        <w:tab/>
        <w:t>Byggande av transformatorer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ind w:left="2087" w:hanging="567"/>
        <w:jc w:val="both"/>
        <w:rPr>
          <w:lang w:val="sv-SE"/>
        </w:rPr>
      </w:pPr>
      <w:r w:rsidRPr="00621663">
        <w:rPr>
          <w:lang w:val="sv-SE"/>
        </w:rPr>
        <w:t>H</w:t>
      </w:r>
      <w:r w:rsidRPr="00621663">
        <w:rPr>
          <w:lang w:val="sv-SE"/>
        </w:rPr>
        <w:tab/>
        <w:t>Byggande av kommunalteknik</w:t>
      </w:r>
    </w:p>
    <w:p w:rsidR="00022BE6" w:rsidRPr="00621663" w:rsidRDefault="00022BE6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ind w:left="2087" w:hanging="567"/>
        <w:jc w:val="both"/>
        <w:rPr>
          <w:lang w:val="sv-SE"/>
        </w:rPr>
      </w:pPr>
      <w:r w:rsidRPr="00621663">
        <w:rPr>
          <w:lang w:val="sv-SE"/>
        </w:rPr>
        <w:t>I</w:t>
      </w:r>
      <w:r w:rsidRPr="00621663">
        <w:rPr>
          <w:lang w:val="sv-SE"/>
        </w:rPr>
        <w:tab/>
        <w:t>Vattenverksarbeten</w:t>
      </w:r>
    </w:p>
    <w:p w:rsidR="00022BE6" w:rsidRPr="00621663" w:rsidRDefault="00022BE6" w:rsidP="00621663">
      <w:pPr>
        <w:tabs>
          <w:tab w:val="left" w:pos="0"/>
          <w:tab w:val="left" w:pos="669"/>
          <w:tab w:val="left" w:pos="1520"/>
          <w:tab w:val="left" w:pos="2087"/>
          <w:tab w:val="left" w:pos="2654"/>
        </w:tabs>
        <w:ind w:left="1520"/>
        <w:jc w:val="both"/>
      </w:pPr>
      <w:r w:rsidRPr="00621663">
        <w:rPr>
          <w:lang w:val="sv-SE"/>
        </w:rPr>
        <w:t>J</w:t>
      </w:r>
      <w:r w:rsidRPr="00621663">
        <w:tab/>
      </w:r>
      <w:r w:rsidRPr="00621663">
        <w:rPr>
          <w:lang w:val="sv-SE"/>
        </w:rPr>
        <w:t>Stadsmätning</w:t>
      </w:r>
    </w:p>
    <w:sectPr w:rsidR="00022BE6" w:rsidRPr="00621663">
      <w:headerReference w:type="default" r:id="rId12"/>
      <w:footerReference w:type="default" r:id="rId13"/>
      <w:pgSz w:w="11906" w:h="16838" w:code="9"/>
      <w:pgMar w:top="839" w:right="1588" w:bottom="1400" w:left="1588" w:header="680" w:footer="15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5B" w:rsidRDefault="0007565B">
      <w:r>
        <w:separator/>
      </w:r>
    </w:p>
  </w:endnote>
  <w:endnote w:type="continuationSeparator" w:id="0">
    <w:p w:rsidR="0007565B" w:rsidRDefault="0007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63" w:rsidRDefault="00621663" w:rsidP="00621663">
    <w:pPr>
      <w:pStyle w:val="Yltunniste"/>
      <w:rPr>
        <w:sz w:val="24"/>
        <w:szCs w:val="24"/>
      </w:rPr>
    </w:pPr>
    <w:r>
      <w:rPr>
        <w:rStyle w:val="Sivunumero"/>
        <w:noProof/>
        <w:sz w:val="16"/>
        <w:szCs w:val="16"/>
      </w:rPr>
      <w:t>yleiskirje1003skr-liite3.doc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63" w:rsidRDefault="00621663" w:rsidP="00621663">
    <w:pPr>
      <w:tabs>
        <w:tab w:val="left" w:pos="0"/>
        <w:tab w:val="left" w:pos="4536"/>
      </w:tabs>
      <w:ind w:left="-23" w:right="-601"/>
      <w:rPr>
        <w:sz w:val="16"/>
        <w:szCs w:val="16"/>
      </w:rPr>
    </w:pPr>
    <w:r>
      <w:rPr>
        <w:noProof/>
        <w:sz w:val="16"/>
        <w:szCs w:val="16"/>
      </w:rPr>
      <w:t>yleiskirje1003skr-liite3.doc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63" w:rsidRDefault="00621663" w:rsidP="00621663">
    <w:pPr>
      <w:tabs>
        <w:tab w:val="left" w:pos="0"/>
        <w:tab w:val="left" w:pos="4536"/>
      </w:tabs>
      <w:rPr>
        <w:sz w:val="24"/>
        <w:szCs w:val="24"/>
      </w:rPr>
    </w:pPr>
    <w:r>
      <w:rPr>
        <w:noProof/>
        <w:sz w:val="16"/>
        <w:szCs w:val="16"/>
      </w:rPr>
      <w:t>yleiskirje1003skr-liite3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5B" w:rsidRDefault="0007565B">
      <w:r>
        <w:separator/>
      </w:r>
    </w:p>
  </w:footnote>
  <w:footnote w:type="continuationSeparator" w:id="0">
    <w:p w:rsidR="0007565B" w:rsidRDefault="0007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1304"/>
      <w:gridCol w:w="1304"/>
      <w:gridCol w:w="1687"/>
      <w:gridCol w:w="2126"/>
      <w:gridCol w:w="1276"/>
      <w:gridCol w:w="567"/>
      <w:gridCol w:w="483"/>
    </w:tblGrid>
    <w:tr w:rsidR="00621663">
      <w:tblPrEx>
        <w:tblCellMar>
          <w:top w:w="0" w:type="dxa"/>
          <w:bottom w:w="0" w:type="dxa"/>
        </w:tblCellMar>
      </w:tblPrEx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rPr>
              <w:b/>
              <w:bCs/>
            </w:rPr>
          </w:pPr>
          <w:r>
            <w:rPr>
              <w:b/>
              <w:bCs/>
              <w:noProof/>
            </w:rPr>
            <w:t>KA</w:t>
          </w: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452" w:type="dxa"/>
          <w:gridSpan w:val="4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rPr>
              <w:b/>
              <w:bCs/>
            </w:rPr>
          </w:pPr>
          <w:r>
            <w:rPr>
              <w:b/>
              <w:bCs/>
              <w:noProof/>
            </w:rPr>
            <w:t>Cirkulär 3/2010 bilaga 3</w:t>
          </w:r>
        </w:p>
      </w:tc>
    </w:tr>
    <w:tr w:rsidR="00621663">
      <w:tblPrEx>
        <w:tblCellMar>
          <w:top w:w="0" w:type="dxa"/>
          <w:bottom w:w="0" w:type="dxa"/>
        </w:tblCellMar>
      </w:tblPrEx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12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27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6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83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621663">
      <w:tblPrEx>
        <w:tblCellMar>
          <w:top w:w="0" w:type="dxa"/>
          <w:bottom w:w="0" w:type="dxa"/>
        </w:tblCellMar>
      </w:tblPrEx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12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27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6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83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621663">
      <w:tblPrEx>
        <w:tblCellMar>
          <w:top w:w="0" w:type="dxa"/>
          <w:bottom w:w="0" w:type="dxa"/>
        </w:tblCellMar>
      </w:tblPrEx>
      <w:trPr>
        <w:cantSplit/>
      </w:trPr>
      <w:tc>
        <w:tcPr>
          <w:tcW w:w="2608" w:type="dxa"/>
          <w:gridSpan w:val="2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212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27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050" w:type="dxa"/>
          <w:gridSpan w:val="2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271234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271234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</w:tbl>
  <w:p w:rsidR="00621663" w:rsidRDefault="00621663" w:rsidP="00621663">
    <w:pPr>
      <w:pStyle w:val="Yltunniste"/>
      <w:spacing w:after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1304"/>
      <w:gridCol w:w="1304"/>
      <w:gridCol w:w="1687"/>
      <w:gridCol w:w="2126"/>
      <w:gridCol w:w="1276"/>
      <w:gridCol w:w="567"/>
      <w:gridCol w:w="483"/>
    </w:tblGrid>
    <w:tr w:rsidR="00621663">
      <w:tblPrEx>
        <w:tblCellMar>
          <w:top w:w="0" w:type="dxa"/>
          <w:bottom w:w="0" w:type="dxa"/>
        </w:tblCellMar>
      </w:tblPrEx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rPr>
              <w:b/>
              <w:bCs/>
            </w:rPr>
          </w:pPr>
          <w:r>
            <w:rPr>
              <w:b/>
              <w:bCs/>
              <w:noProof/>
            </w:rPr>
            <w:t>KA</w:t>
          </w: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452" w:type="dxa"/>
          <w:gridSpan w:val="4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rPr>
              <w:b/>
              <w:bCs/>
            </w:rPr>
          </w:pPr>
          <w:r>
            <w:rPr>
              <w:b/>
              <w:bCs/>
              <w:noProof/>
            </w:rPr>
            <w:t>Cirkulär 3/2010 bilaga 3</w:t>
          </w:r>
        </w:p>
      </w:tc>
    </w:tr>
    <w:tr w:rsidR="00621663">
      <w:tblPrEx>
        <w:tblCellMar>
          <w:top w:w="0" w:type="dxa"/>
          <w:bottom w:w="0" w:type="dxa"/>
        </w:tblCellMar>
      </w:tblPrEx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12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27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6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83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621663">
      <w:tblPrEx>
        <w:tblCellMar>
          <w:top w:w="0" w:type="dxa"/>
          <w:bottom w:w="0" w:type="dxa"/>
        </w:tblCellMar>
      </w:tblPrEx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12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27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6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83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621663">
      <w:tblPrEx>
        <w:tblCellMar>
          <w:top w:w="0" w:type="dxa"/>
          <w:bottom w:w="0" w:type="dxa"/>
        </w:tblCellMar>
      </w:tblPrEx>
      <w:trPr>
        <w:cantSplit/>
      </w:trPr>
      <w:tc>
        <w:tcPr>
          <w:tcW w:w="2608" w:type="dxa"/>
          <w:gridSpan w:val="2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212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27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050" w:type="dxa"/>
          <w:gridSpan w:val="2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271234">
            <w:rPr>
              <w:rStyle w:val="Sivunumero"/>
              <w:noProof/>
            </w:rPr>
            <w:t>3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271234">
            <w:rPr>
              <w:rStyle w:val="Sivunumero"/>
              <w:noProof/>
            </w:rPr>
            <w:t>3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</w:tbl>
  <w:p w:rsidR="00621663" w:rsidRDefault="00621663" w:rsidP="00621663">
    <w:pPr>
      <w:pStyle w:val="Yltunniste"/>
      <w:spacing w:after="4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1304"/>
      <w:gridCol w:w="1304"/>
      <w:gridCol w:w="1687"/>
      <w:gridCol w:w="2126"/>
      <w:gridCol w:w="1276"/>
      <w:gridCol w:w="567"/>
      <w:gridCol w:w="483"/>
    </w:tblGrid>
    <w:tr w:rsidR="00621663">
      <w:tblPrEx>
        <w:tblCellMar>
          <w:top w:w="0" w:type="dxa"/>
          <w:bottom w:w="0" w:type="dxa"/>
        </w:tblCellMar>
      </w:tblPrEx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rPr>
              <w:b/>
              <w:bCs/>
            </w:rPr>
          </w:pPr>
          <w:r>
            <w:rPr>
              <w:b/>
              <w:bCs/>
              <w:noProof/>
            </w:rPr>
            <w:t>KA</w:t>
          </w: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452" w:type="dxa"/>
          <w:gridSpan w:val="4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rPr>
              <w:b/>
              <w:bCs/>
            </w:rPr>
          </w:pPr>
          <w:r>
            <w:rPr>
              <w:b/>
              <w:bCs/>
              <w:noProof/>
            </w:rPr>
            <w:t>Cirkulär 3/2010 bilaga 3</w:t>
          </w:r>
        </w:p>
      </w:tc>
    </w:tr>
    <w:tr w:rsidR="00621663">
      <w:tblPrEx>
        <w:tblCellMar>
          <w:top w:w="0" w:type="dxa"/>
          <w:bottom w:w="0" w:type="dxa"/>
        </w:tblCellMar>
      </w:tblPrEx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12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27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6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83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621663">
      <w:tblPrEx>
        <w:tblCellMar>
          <w:top w:w="0" w:type="dxa"/>
          <w:bottom w:w="0" w:type="dxa"/>
        </w:tblCellMar>
      </w:tblPrEx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12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27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6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83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621663">
      <w:tblPrEx>
        <w:tblCellMar>
          <w:top w:w="0" w:type="dxa"/>
          <w:bottom w:w="0" w:type="dxa"/>
        </w:tblCellMar>
      </w:tblPrEx>
      <w:trPr>
        <w:cantSplit/>
      </w:trPr>
      <w:tc>
        <w:tcPr>
          <w:tcW w:w="2608" w:type="dxa"/>
          <w:gridSpan w:val="2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304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687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212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276" w:type="dxa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</w:p>
      </w:tc>
      <w:tc>
        <w:tcPr>
          <w:tcW w:w="1050" w:type="dxa"/>
          <w:gridSpan w:val="2"/>
        </w:tcPr>
        <w:p w:rsidR="00621663" w:rsidRDefault="00621663">
          <w:pPr>
            <w:pStyle w:val="Yltunniste"/>
            <w:tabs>
              <w:tab w:val="clear" w:pos="4819"/>
              <w:tab w:val="clear" w:pos="9638"/>
            </w:tabs>
            <w:spacing w:before="100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271234">
            <w:rPr>
              <w:rStyle w:val="Sivunumero"/>
              <w:noProof/>
            </w:rPr>
            <w:t>7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271234">
            <w:rPr>
              <w:rStyle w:val="Sivunumero"/>
              <w:noProof/>
            </w:rPr>
            <w:t>7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</w:tbl>
  <w:p w:rsidR="00621663" w:rsidRDefault="00621663" w:rsidP="00621663">
    <w:pPr>
      <w:pStyle w:val="Yltunniste"/>
      <w:spacing w:after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3FD"/>
    <w:multiLevelType w:val="singleLevel"/>
    <w:tmpl w:val="63C61642"/>
    <w:lvl w:ilvl="0">
      <w:start w:val="1"/>
      <w:numFmt w:val="bullet"/>
      <w:lvlText w:val="–"/>
      <w:lvlJc w:val="left"/>
      <w:pPr>
        <w:tabs>
          <w:tab w:val="num" w:pos="2041"/>
        </w:tabs>
        <w:ind w:left="2041" w:hanging="567"/>
      </w:pPr>
      <w:rPr>
        <w:rFonts w:ascii="Times New Roman" w:hAnsi="Times New Roman" w:cs="Times New Roman" w:hint="default"/>
      </w:rPr>
    </w:lvl>
  </w:abstractNum>
  <w:abstractNum w:abstractNumId="1">
    <w:nsid w:val="3F7F21F9"/>
    <w:multiLevelType w:val="hybridMultilevel"/>
    <w:tmpl w:val="F61C4E56"/>
    <w:lvl w:ilvl="0" w:tplc="FDD68CA0">
      <w:start w:val="2"/>
      <w:numFmt w:val="bullet"/>
      <w:lvlText w:val="–"/>
      <w:lvlJc w:val="left"/>
      <w:pPr>
        <w:tabs>
          <w:tab w:val="num" w:pos="3180"/>
        </w:tabs>
        <w:ind w:left="3180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cs="Wingdings" w:hint="default"/>
      </w:rPr>
    </w:lvl>
  </w:abstractNum>
  <w:abstractNum w:abstractNumId="2">
    <w:nsid w:val="529F58EC"/>
    <w:multiLevelType w:val="singleLevel"/>
    <w:tmpl w:val="E78C7BAA"/>
    <w:lvl w:ilvl="0">
      <w:start w:val="1"/>
      <w:numFmt w:val="bullet"/>
      <w:lvlText w:val="–"/>
      <w:lvlJc w:val="left"/>
      <w:pPr>
        <w:tabs>
          <w:tab w:val="num" w:pos="2041"/>
        </w:tabs>
        <w:ind w:left="2041" w:hanging="567"/>
      </w:pPr>
      <w:rPr>
        <w:rFonts w:ascii="Times New Roman" w:hAnsi="Times New Roman" w:cs="Times New Roman" w:hint="default"/>
      </w:rPr>
    </w:lvl>
  </w:abstractNum>
  <w:abstractNum w:abstractNumId="3">
    <w:nsid w:val="61BE11A4"/>
    <w:multiLevelType w:val="hybridMultilevel"/>
    <w:tmpl w:val="FE387358"/>
    <w:lvl w:ilvl="0" w:tplc="FDD68CA0">
      <w:start w:val="2"/>
      <w:numFmt w:val="bullet"/>
      <w:lvlText w:val="–"/>
      <w:lvlJc w:val="left"/>
      <w:pPr>
        <w:tabs>
          <w:tab w:val="num" w:pos="1674"/>
        </w:tabs>
        <w:ind w:left="1674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63F49F4"/>
    <w:multiLevelType w:val="singleLevel"/>
    <w:tmpl w:val="4EFEDD2E"/>
    <w:lvl w:ilvl="0">
      <w:start w:val="1"/>
      <w:numFmt w:val="bullet"/>
      <w:lvlText w:val="–"/>
      <w:lvlJc w:val="left"/>
      <w:pPr>
        <w:tabs>
          <w:tab w:val="num" w:pos="2041"/>
        </w:tabs>
        <w:ind w:left="2041" w:hanging="567"/>
      </w:pPr>
      <w:rPr>
        <w:rFonts w:ascii="Times New Roman" w:hAnsi="Times New Roman" w:cs="Times New Roman" w:hint="default"/>
      </w:rPr>
    </w:lvl>
  </w:abstractNum>
  <w:abstractNum w:abstractNumId="5">
    <w:nsid w:val="7E13766D"/>
    <w:multiLevelType w:val="singleLevel"/>
    <w:tmpl w:val="7FF44EF2"/>
    <w:lvl w:ilvl="0">
      <w:start w:val="1"/>
      <w:numFmt w:val="bullet"/>
      <w:lvlText w:val="–"/>
      <w:lvlJc w:val="left"/>
      <w:pPr>
        <w:tabs>
          <w:tab w:val="num" w:pos="2041"/>
        </w:tabs>
        <w:ind w:left="2041" w:hanging="567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31"/>
    <w:rsid w:val="00014E1E"/>
    <w:rsid w:val="00022BE6"/>
    <w:rsid w:val="00033D2D"/>
    <w:rsid w:val="0005251F"/>
    <w:rsid w:val="0007118F"/>
    <w:rsid w:val="0007565B"/>
    <w:rsid w:val="000A70B9"/>
    <w:rsid w:val="000F104D"/>
    <w:rsid w:val="00103065"/>
    <w:rsid w:val="001107CB"/>
    <w:rsid w:val="001142CC"/>
    <w:rsid w:val="00131DA4"/>
    <w:rsid w:val="00140591"/>
    <w:rsid w:val="0016166A"/>
    <w:rsid w:val="001878FD"/>
    <w:rsid w:val="001A3662"/>
    <w:rsid w:val="001A71FF"/>
    <w:rsid w:val="001A75FB"/>
    <w:rsid w:val="001A7A5A"/>
    <w:rsid w:val="001A7D26"/>
    <w:rsid w:val="001C5CC3"/>
    <w:rsid w:val="00205782"/>
    <w:rsid w:val="00232E4A"/>
    <w:rsid w:val="00271234"/>
    <w:rsid w:val="002A3AB8"/>
    <w:rsid w:val="002A4473"/>
    <w:rsid w:val="002B1556"/>
    <w:rsid w:val="002D4A4B"/>
    <w:rsid w:val="0036303D"/>
    <w:rsid w:val="00393162"/>
    <w:rsid w:val="00394D31"/>
    <w:rsid w:val="00397FBF"/>
    <w:rsid w:val="003A25A6"/>
    <w:rsid w:val="003A3A57"/>
    <w:rsid w:val="003A4C0E"/>
    <w:rsid w:val="003D525A"/>
    <w:rsid w:val="003E3E01"/>
    <w:rsid w:val="003F5037"/>
    <w:rsid w:val="004279E3"/>
    <w:rsid w:val="0044162C"/>
    <w:rsid w:val="00461870"/>
    <w:rsid w:val="0046547F"/>
    <w:rsid w:val="004942B5"/>
    <w:rsid w:val="004E6E2A"/>
    <w:rsid w:val="00522360"/>
    <w:rsid w:val="00526BE2"/>
    <w:rsid w:val="00541798"/>
    <w:rsid w:val="0054530B"/>
    <w:rsid w:val="00576AD5"/>
    <w:rsid w:val="005A5522"/>
    <w:rsid w:val="005A58CE"/>
    <w:rsid w:val="005B0A22"/>
    <w:rsid w:val="005C6B8A"/>
    <w:rsid w:val="005D0BFC"/>
    <w:rsid w:val="005D133D"/>
    <w:rsid w:val="00621663"/>
    <w:rsid w:val="006230F4"/>
    <w:rsid w:val="006251F6"/>
    <w:rsid w:val="006308D2"/>
    <w:rsid w:val="00652F4D"/>
    <w:rsid w:val="006720EA"/>
    <w:rsid w:val="00677FCE"/>
    <w:rsid w:val="00684ADA"/>
    <w:rsid w:val="006A60C6"/>
    <w:rsid w:val="006C1416"/>
    <w:rsid w:val="006E7495"/>
    <w:rsid w:val="007476EC"/>
    <w:rsid w:val="00753A2A"/>
    <w:rsid w:val="00762F39"/>
    <w:rsid w:val="00765B96"/>
    <w:rsid w:val="00772E59"/>
    <w:rsid w:val="0077516A"/>
    <w:rsid w:val="00793A4C"/>
    <w:rsid w:val="007B0929"/>
    <w:rsid w:val="00815688"/>
    <w:rsid w:val="00843F69"/>
    <w:rsid w:val="008676DB"/>
    <w:rsid w:val="008920C9"/>
    <w:rsid w:val="008B09E7"/>
    <w:rsid w:val="008C7F05"/>
    <w:rsid w:val="008F279E"/>
    <w:rsid w:val="009055D8"/>
    <w:rsid w:val="0091089D"/>
    <w:rsid w:val="0091237D"/>
    <w:rsid w:val="00940A35"/>
    <w:rsid w:val="009532AC"/>
    <w:rsid w:val="00954BE9"/>
    <w:rsid w:val="00957181"/>
    <w:rsid w:val="009652E7"/>
    <w:rsid w:val="009B44B9"/>
    <w:rsid w:val="009F243A"/>
    <w:rsid w:val="00A27602"/>
    <w:rsid w:val="00A36627"/>
    <w:rsid w:val="00A461B5"/>
    <w:rsid w:val="00A72891"/>
    <w:rsid w:val="00AA5642"/>
    <w:rsid w:val="00AA582B"/>
    <w:rsid w:val="00AB55F8"/>
    <w:rsid w:val="00AE1886"/>
    <w:rsid w:val="00B10EE1"/>
    <w:rsid w:val="00B129F0"/>
    <w:rsid w:val="00B31CB8"/>
    <w:rsid w:val="00B33B14"/>
    <w:rsid w:val="00B622A7"/>
    <w:rsid w:val="00BA3AAB"/>
    <w:rsid w:val="00BB584B"/>
    <w:rsid w:val="00BB67B9"/>
    <w:rsid w:val="00BD64F0"/>
    <w:rsid w:val="00C53847"/>
    <w:rsid w:val="00C70275"/>
    <w:rsid w:val="00D423E6"/>
    <w:rsid w:val="00D52267"/>
    <w:rsid w:val="00E604F2"/>
    <w:rsid w:val="00E87852"/>
    <w:rsid w:val="00EC7E6A"/>
    <w:rsid w:val="00F701A1"/>
    <w:rsid w:val="00FA5E3B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 w:cs="Arial"/>
      <w:snapToGrid w:val="0"/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widowControl w:val="0"/>
      <w:spacing w:before="240" w:after="60"/>
      <w:outlineLvl w:val="0"/>
    </w:pPr>
    <w:rPr>
      <w:b/>
      <w:bCs/>
      <w:snapToGrid/>
      <w:kern w:val="28"/>
      <w:sz w:val="28"/>
      <w:szCs w:val="28"/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KTnYltunniste">
    <w:name w:val="KTn Ylätunniste"/>
    <w:basedOn w:val="Normaali"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Kommentinviite">
    <w:name w:val="annotation reference"/>
    <w:basedOn w:val="Kappaleenoletusfontti"/>
    <w:semiHidden/>
    <w:rPr>
      <w:sz w:val="16"/>
      <w:szCs w:val="16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Pr>
      <w:b/>
      <w:bCs/>
    </w:rPr>
  </w:style>
  <w:style w:type="paragraph" w:styleId="Seliteteksti">
    <w:name w:val="Balloon Text"/>
    <w:basedOn w:val="Normaali"/>
    <w:semiHidden/>
    <w:rPr>
      <w:rFonts w:ascii="Times New Roman" w:hAnsi="Times New Roman" w:cs="Times New Roman"/>
      <w:sz w:val="16"/>
      <w:szCs w:val="16"/>
    </w:rPr>
  </w:style>
  <w:style w:type="table" w:styleId="TaulukkoRuudukko">
    <w:name w:val="Table Grid"/>
    <w:basedOn w:val="Normaalitaulukko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Kappaleenoletusfontti"/>
    <w:locked/>
    <w:rPr>
      <w:rFonts w:ascii="Arial" w:hAnsi="Arial" w:cs="Arial"/>
      <w:sz w:val="22"/>
      <w:szCs w:val="22"/>
      <w:lang w:val="fi-FI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 w:cs="Arial"/>
      <w:snapToGrid w:val="0"/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widowControl w:val="0"/>
      <w:spacing w:before="240" w:after="60"/>
      <w:outlineLvl w:val="0"/>
    </w:pPr>
    <w:rPr>
      <w:b/>
      <w:bCs/>
      <w:snapToGrid/>
      <w:kern w:val="28"/>
      <w:sz w:val="28"/>
      <w:szCs w:val="28"/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KTnYltunniste">
    <w:name w:val="KTn Ylätunniste"/>
    <w:basedOn w:val="Normaali"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Kommentinviite">
    <w:name w:val="annotation reference"/>
    <w:basedOn w:val="Kappaleenoletusfontti"/>
    <w:semiHidden/>
    <w:rPr>
      <w:sz w:val="16"/>
      <w:szCs w:val="16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Pr>
      <w:b/>
      <w:bCs/>
    </w:rPr>
  </w:style>
  <w:style w:type="paragraph" w:styleId="Seliteteksti">
    <w:name w:val="Balloon Text"/>
    <w:basedOn w:val="Normaali"/>
    <w:semiHidden/>
    <w:rPr>
      <w:rFonts w:ascii="Times New Roman" w:hAnsi="Times New Roman" w:cs="Times New Roman"/>
      <w:sz w:val="16"/>
      <w:szCs w:val="16"/>
    </w:rPr>
  </w:style>
  <w:style w:type="table" w:styleId="TaulukkoRuudukko">
    <w:name w:val="Table Grid"/>
    <w:basedOn w:val="Normaalitaulukko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Kappaleenoletusfontti"/>
    <w:locked/>
    <w:rPr>
      <w:rFonts w:ascii="Arial" w:hAnsi="Arial" w:cs="Arial"/>
      <w:sz w:val="22"/>
      <w:szCs w:val="22"/>
      <w:lang w:val="fi-FI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eda35f-1397-4600-a511-b2a9830ff4f4"/>
    <KN2KeywordsTaxHTField0 xmlns="fceda35f-1397-4600-a511-b2a9830ff4f4">
      <Terms xmlns="http://schemas.microsoft.com/office/infopath/2007/PartnerControls"/>
    </KN2KeywordsTaxHTField0>
    <ThemeTaxHTField0 xmlns="fceda35f-1397-4600-a511-b2a9830ff4f4">
      <Terms xmlns="http://schemas.microsoft.com/office/infopath/2007/PartnerControls"/>
    </ThemeTaxHTField0>
    <KN2Description xmlns="a86a36f1-5a8f-416f-bf33-cf6bc51d313a" xsi:nil="true"/>
    <_dlc_DocId xmlns="fceda35f-1397-4600-a511-b2a9830ff4f4">E6NQPWJF6HVP-810-35</_dlc_DocId>
    <_dlc_DocIdUrl xmlns="fceda35f-1397-4600-a511-b2a9830ff4f4">
      <Url>http://kt.kl-spfarm1/sv/aktuellt/cirkular/2010/_layouts/DocIdRedir.aspx?ID=E6NQPWJF6HVP-810-35</Url>
      <Description>E6NQPWJF6HVP-810-35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T Dokumentti" ma:contentTypeID="0x0101002FA37F67D4F743B58072EF43E0A938D600D2B4E466BC02C943AD8BDC170F42A9DF" ma:contentTypeVersion="5" ma:contentTypeDescription="KT Dokumentti sisältölaji." ma:contentTypeScope="" ma:versionID="0114fe067b18ef01802c2ebd514e8bd5">
  <xsd:schema xmlns:xsd="http://www.w3.org/2001/XMLSchema" xmlns:xs="http://www.w3.org/2001/XMLSchema" xmlns:p="http://schemas.microsoft.com/office/2006/metadata/properties" xmlns:ns2="a86a36f1-5a8f-416f-bf33-cf6bc51d313a" xmlns:ns3="fceda35f-1397-4600-a511-b2a9830ff4f4" targetNamespace="http://schemas.microsoft.com/office/2006/metadata/properties" ma:root="true" ma:fieldsID="82c7fc4a5c5a60bdbdd2f69398e3b4c5" ns2:_="" ns3:_="">
    <xsd:import namespace="a86a36f1-5a8f-416f-bf33-cf6bc51d313a"/>
    <xsd:import namespace="fceda35f-1397-4600-a511-b2a9830ff4f4"/>
    <xsd:element name="properties">
      <xsd:complexType>
        <xsd:sequence>
          <xsd:element name="documentManagement">
            <xsd:complexType>
              <xsd:all>
                <xsd:element ref="ns2:KN2Description" minOccurs="0"/>
                <xsd:element ref="ns3:KN2KeywordsTaxHTField0" minOccurs="0"/>
                <xsd:element ref="ns3:TaxCatchAll" minOccurs="0"/>
                <xsd:element ref="ns3:TaxCatchAllLabel" minOccurs="0"/>
                <xsd:element ref="ns3:Theme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36f1-5a8f-416f-bf33-cf6bc51d313a" elementFormDefault="qualified">
    <xsd:import namespace="http://schemas.microsoft.com/office/2006/documentManagement/types"/>
    <xsd:import namespace="http://schemas.microsoft.com/office/infopath/2007/PartnerControls"/>
    <xsd:element name="KN2Description" ma:index="8" nillable="true" ma:displayName="Kuvausteksti" ma:internalName="KN2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a35f-1397-4600-a511-b2a9830ff4f4" elementFormDefault="qualified">
    <xsd:import namespace="http://schemas.microsoft.com/office/2006/documentManagement/types"/>
    <xsd:import namespace="http://schemas.microsoft.com/office/infopath/2007/PartnerControls"/>
    <xsd:element name="KN2KeywordsTaxHTField0" ma:index="9" nillable="true" ma:taxonomy="true" ma:internalName="KN2KeywordsTaxHTField0" ma:taxonomyFieldName="KN2Keywords" ma:displayName="Asiasanat" ma:fieldId="{743a4267-6bc5-4719-a434-42c58260f359}" ma:taxonomyMulti="true" ma:sspId="af6aced0-8844-4989-b18d-bf2834524db8" ma:termSetId="1b86b395-74cd-4831-bbe4-19296048be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Luokituksen Kaikki-sarake" ma:description="" ma:hidden="true" ma:list="{974a67bc-2b7e-4bca-aa03-381cfeb6ce01}" ma:internalName="TaxCatchAll" ma:showField="CatchAllData" ma:web="fceda35f-1397-4600-a511-b2a9830ff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Luokituksen Kaikki-sarake1" ma:description="" ma:hidden="true" ma:list="{974a67bc-2b7e-4bca-aa03-381cfeb6ce01}" ma:internalName="TaxCatchAllLabel" ma:readOnly="true" ma:showField="CatchAllDataLabel" ma:web="fceda35f-1397-4600-a511-b2a9830ff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hemeTaxHTField0" ma:index="13" nillable="true" ma:taxonomy="true" ma:internalName="ThemeTaxHTField0" ma:taxonomyFieldName="Theme" ma:displayName="Teemat" ma:fieldId="{e669c4f7-28f0-4bda-ae08-f312983233ee}" ma:taxonomyMulti="true" ma:sspId="af6aced0-8844-4989-b18d-bf2834524db8" ma:termSetId="75b7cd61-4408-4d77-8374-d2cb5074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D776F-D2E3-46C5-8922-5A834BD2709F}"/>
</file>

<file path=customXml/itemProps2.xml><?xml version="1.0" encoding="utf-8"?>
<ds:datastoreItem xmlns:ds="http://schemas.openxmlformats.org/officeDocument/2006/customXml" ds:itemID="{9EEC4F0A-BC1F-4FC2-BA83-A938F21200F2}"/>
</file>

<file path=customXml/itemProps3.xml><?xml version="1.0" encoding="utf-8"?>
<ds:datastoreItem xmlns:ds="http://schemas.openxmlformats.org/officeDocument/2006/customXml" ds:itemID="{4F60BB8B-CAFC-46A3-8EE2-C55827C4AF6F}"/>
</file>

<file path=customXml/itemProps4.xml><?xml version="1.0" encoding="utf-8"?>
<ds:datastoreItem xmlns:ds="http://schemas.openxmlformats.org/officeDocument/2006/customXml" ds:itemID="{183D3773-9979-4850-9AE9-FE8EDDB6A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1004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1</vt:lpstr>
    </vt:vector>
  </TitlesOfParts>
  <Company>Kunnallinen Työmarkkinalaitos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0310 bilaga 3</dc:title>
  <dc:creator>Kunnallinen Työmarkkinalaitos</dc:creator>
  <cp:lastModifiedBy>Lilja Satu</cp:lastModifiedBy>
  <cp:revision>2</cp:revision>
  <cp:lastPrinted>2010-02-23T07:58:00Z</cp:lastPrinted>
  <dcterms:created xsi:type="dcterms:W3CDTF">2010-12-15T14:48:00Z</dcterms:created>
  <dcterms:modified xsi:type="dcterms:W3CDTF">2010-12-15T14:48:00Z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0x0101002FA37F67D4F743B58072EF43E0A938D600D2B4E466BC02C943AD8BDC170F42A9DF</vt:lpwstr>
  </property>
  <property fmtid="{D5CDD505-2E9C-101B-9397-08002B2CF9AE}" pid="3" name="KN2Keywords">
    <vt:lpwstr/>
  </property>
  <property fmtid="{D5CDD505-2E9C-101B-9397-08002B2CF9AE}" pid="4" name="Theme">
    <vt:lpwstr/>
  </property>
  <property fmtid="{D5CDD505-2E9C-101B-9397-08002B2CF9AE}" pid="5" name="_dlc_DocIdItemGuid">
    <vt:lpwstr>7f691cf4-1c55-4245-add9-83fd058878b0</vt:lpwstr>
  </property>
</Properties>
</file>