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B2" w:rsidRPr="00754B7B" w:rsidRDefault="002C3EB2">
      <w:pPr>
        <w:pStyle w:val="Otsikko1"/>
        <w:rPr>
          <w:b w:val="0"/>
          <w:bCs w:val="0"/>
          <w:sz w:val="22"/>
          <w:szCs w:val="22"/>
          <w:lang w:val="sv-SE"/>
        </w:rPr>
      </w:pPr>
      <w:bookmarkStart w:id="0" w:name="_GoBack"/>
      <w:bookmarkEnd w:id="0"/>
      <w:r w:rsidRPr="00754B7B">
        <w:rPr>
          <w:b w:val="0"/>
          <w:bCs w:val="0"/>
          <w:sz w:val="22"/>
          <w:szCs w:val="22"/>
          <w:lang w:val="sv-SE"/>
        </w:rPr>
        <w:t xml:space="preserve">UNDERTECKNINGSPROTOKOLL TILL DET KOMMUNALA </w:t>
      </w:r>
      <w:r w:rsidR="00754B7B" w:rsidRPr="00754B7B">
        <w:rPr>
          <w:b w:val="0"/>
          <w:bCs w:val="0"/>
          <w:sz w:val="22"/>
          <w:szCs w:val="22"/>
          <w:lang w:val="sv-SE"/>
        </w:rPr>
        <w:br/>
      </w:r>
      <w:r w:rsidRPr="00754B7B">
        <w:rPr>
          <w:b w:val="0"/>
          <w:bCs w:val="0"/>
          <w:sz w:val="22"/>
          <w:szCs w:val="22"/>
          <w:lang w:val="sv-SE"/>
        </w:rPr>
        <w:t>ARBETSKOLLE</w:t>
      </w:r>
      <w:r w:rsidRPr="00754B7B">
        <w:rPr>
          <w:b w:val="0"/>
          <w:bCs w:val="0"/>
          <w:sz w:val="22"/>
          <w:szCs w:val="22"/>
          <w:lang w:val="sv-SE"/>
        </w:rPr>
        <w:t>K</w:t>
      </w:r>
      <w:r w:rsidRPr="00754B7B">
        <w:rPr>
          <w:b w:val="0"/>
          <w:bCs w:val="0"/>
          <w:sz w:val="22"/>
          <w:szCs w:val="22"/>
          <w:lang w:val="sv-SE"/>
        </w:rPr>
        <w:t>TIVAVTALET FÖR TIMAVLÖNADE 2010–2011</w:t>
      </w:r>
    </w:p>
    <w:p w:rsidR="002C3EB2" w:rsidRPr="00754B7B" w:rsidRDefault="002C3EB2">
      <w:pPr>
        <w:spacing w:before="240"/>
        <w:ind w:left="669" w:hanging="669"/>
        <w:rPr>
          <w:lang w:val="sv-SE"/>
        </w:rPr>
      </w:pPr>
      <w:r w:rsidRPr="00754B7B">
        <w:rPr>
          <w:lang w:val="sv-SE"/>
        </w:rPr>
        <w:t>§ 1</w:t>
      </w:r>
      <w:r w:rsidRPr="00754B7B">
        <w:rPr>
          <w:lang w:val="sv-SE"/>
        </w:rPr>
        <w:tab/>
        <w:t xml:space="preserve">Avtalets giltighetstid </w:t>
      </w:r>
    </w:p>
    <w:p w:rsidR="002C3EB2" w:rsidRPr="00754B7B" w:rsidRDefault="002C3EB2">
      <w:pPr>
        <w:spacing w:before="240"/>
        <w:ind w:left="1520"/>
        <w:jc w:val="both"/>
        <w:rPr>
          <w:lang w:val="sv-SE"/>
        </w:rPr>
      </w:pPr>
      <w:r w:rsidRPr="00754B7B">
        <w:rPr>
          <w:lang w:val="sv-SE"/>
        </w:rPr>
        <w:t>Det kommunala arbetskollektivavtalet för timavlönade (TIM-AKA) gäller 1.2.2010–31.12.2011. Efter 31.12.2011 fortsätter avtalet att gälla ett år i sänder, om inte någondera parten skriftligt säger upp det minst sex vec</w:t>
      </w:r>
      <w:r w:rsidRPr="00754B7B">
        <w:rPr>
          <w:lang w:val="sv-SE"/>
        </w:rPr>
        <w:t>k</w:t>
      </w:r>
      <w:r w:rsidRPr="00754B7B">
        <w:rPr>
          <w:lang w:val="sv-SE"/>
        </w:rPr>
        <w:t>or innan avtalsperioden går ut.</w:t>
      </w:r>
    </w:p>
    <w:p w:rsidR="002C3EB2" w:rsidRPr="00754B7B" w:rsidRDefault="002C3EB2">
      <w:pPr>
        <w:spacing w:before="240"/>
        <w:ind w:left="1520"/>
        <w:jc w:val="both"/>
        <w:rPr>
          <w:lang w:val="sv-SE"/>
        </w:rPr>
      </w:pPr>
      <w:r w:rsidRPr="00754B7B">
        <w:rPr>
          <w:lang w:val="sv-SE"/>
        </w:rPr>
        <w:t>Avtalet kan sägas upp skriftligt senast 31.1.2011 så att det upphör 28.2.2011.</w:t>
      </w:r>
    </w:p>
    <w:p w:rsidR="002C3EB2" w:rsidRPr="00754B7B" w:rsidRDefault="002C3EB2">
      <w:pPr>
        <w:spacing w:before="240"/>
        <w:ind w:left="1520"/>
        <w:jc w:val="both"/>
        <w:rPr>
          <w:lang w:val="sv-SE"/>
        </w:rPr>
      </w:pPr>
      <w:r w:rsidRPr="00754B7B">
        <w:rPr>
          <w:lang w:val="sv-SE"/>
        </w:rPr>
        <w:t>Även om avtalet sägs upp är dess bestämmelser i kraft tills parterna g</w:t>
      </w:r>
      <w:r w:rsidRPr="00754B7B">
        <w:rPr>
          <w:lang w:val="sv-SE"/>
        </w:rPr>
        <w:t>e</w:t>
      </w:r>
      <w:r w:rsidRPr="00754B7B">
        <w:rPr>
          <w:lang w:val="sv-SE"/>
        </w:rPr>
        <w:t>mensamt konstaterar att förhandlingarna om ett nytt avtal har slutförts e</w:t>
      </w:r>
      <w:r w:rsidRPr="00754B7B">
        <w:rPr>
          <w:lang w:val="sv-SE"/>
        </w:rPr>
        <w:t>l</w:t>
      </w:r>
      <w:r w:rsidRPr="00754B7B">
        <w:rPr>
          <w:lang w:val="sv-SE"/>
        </w:rPr>
        <w:t>ler tills någondera parten skriftligt uppger sig anse att förhandlingarna är slutförda.</w:t>
      </w:r>
    </w:p>
    <w:p w:rsidR="002C3EB2" w:rsidRPr="00754B7B" w:rsidRDefault="002C3EB2">
      <w:pPr>
        <w:spacing w:before="240"/>
        <w:ind w:left="669" w:hanging="669"/>
        <w:rPr>
          <w:lang w:val="sv-SE"/>
        </w:rPr>
      </w:pPr>
      <w:r w:rsidRPr="00754B7B">
        <w:rPr>
          <w:lang w:val="sv-SE"/>
        </w:rPr>
        <w:t>§ 2</w:t>
      </w:r>
      <w:r w:rsidRPr="00754B7B">
        <w:rPr>
          <w:lang w:val="sv-SE"/>
        </w:rPr>
        <w:tab/>
        <w:t>Löneförhöjningar år 2010</w:t>
      </w:r>
    </w:p>
    <w:p w:rsidR="002C3EB2" w:rsidRPr="00754B7B" w:rsidRDefault="002C3EB2">
      <w:pPr>
        <w:spacing w:before="240"/>
        <w:ind w:left="669"/>
        <w:rPr>
          <w:lang w:val="sv-SE"/>
        </w:rPr>
      </w:pPr>
      <w:r w:rsidRPr="00754B7B">
        <w:rPr>
          <w:lang w:val="sv-SE"/>
        </w:rPr>
        <w:t>Likalönspott 1.2.2010</w:t>
      </w:r>
    </w:p>
    <w:p w:rsidR="002C3EB2" w:rsidRPr="00754B7B" w:rsidRDefault="002C3EB2">
      <w:pPr>
        <w:spacing w:before="240"/>
        <w:ind w:left="1520"/>
        <w:jc w:val="both"/>
        <w:rPr>
          <w:lang w:val="sv-SE"/>
        </w:rPr>
      </w:pPr>
      <w:r w:rsidRPr="00754B7B">
        <w:rPr>
          <w:lang w:val="sv-SE"/>
        </w:rPr>
        <w:t xml:space="preserve">Lokalt har avtalats om en likalönspott på 0,4 procent av lönesumman inom avtalsområdet. Potten betalas 1.2.2010 eller från ingången av den lönebetalningsperiod som börjar närmast efter detta datum. </w:t>
      </w:r>
    </w:p>
    <w:p w:rsidR="002C3EB2" w:rsidRPr="00754B7B" w:rsidRDefault="002C3EB2">
      <w:pPr>
        <w:spacing w:before="240"/>
        <w:ind w:left="1520"/>
        <w:jc w:val="both"/>
        <w:rPr>
          <w:lang w:val="sv-SE"/>
        </w:rPr>
      </w:pPr>
      <w:r w:rsidRPr="00754B7B">
        <w:rPr>
          <w:lang w:val="sv-SE"/>
        </w:rPr>
        <w:t>Syftet med likalönspotten är att främja lönernas konkurrenskraft i kvinn</w:t>
      </w:r>
      <w:r w:rsidRPr="00754B7B">
        <w:rPr>
          <w:lang w:val="sv-SE"/>
        </w:rPr>
        <w:t>o</w:t>
      </w:r>
      <w:r w:rsidRPr="00754B7B">
        <w:rPr>
          <w:lang w:val="sv-SE"/>
        </w:rPr>
        <w:t>dominerade branscher och eliminera omotiverade löneskillnader mellan kvinnor och män genom att rikta löneförhöjningarna till utbildade kvinn</w:t>
      </w:r>
      <w:r w:rsidRPr="00754B7B">
        <w:rPr>
          <w:lang w:val="sv-SE"/>
        </w:rPr>
        <w:t>o</w:t>
      </w:r>
      <w:r w:rsidRPr="00754B7B">
        <w:rPr>
          <w:lang w:val="sv-SE"/>
        </w:rPr>
        <w:t>dominerade grupper.</w:t>
      </w:r>
    </w:p>
    <w:p w:rsidR="002C3EB2" w:rsidRPr="00754B7B" w:rsidRDefault="002C3EB2">
      <w:pPr>
        <w:spacing w:before="240"/>
        <w:ind w:left="1520"/>
        <w:jc w:val="both"/>
        <w:rPr>
          <w:lang w:val="sv-SE"/>
        </w:rPr>
      </w:pPr>
      <w:r w:rsidRPr="00754B7B">
        <w:rPr>
          <w:lang w:val="sv-SE"/>
        </w:rPr>
        <w:t>Likalönspotten fördelas genom att grundtimlönerna, de individuella tillä</w:t>
      </w:r>
      <w:r w:rsidRPr="00754B7B">
        <w:rPr>
          <w:lang w:val="sv-SE"/>
        </w:rPr>
        <w:t>g</w:t>
      </w:r>
      <w:r w:rsidRPr="00754B7B">
        <w:rPr>
          <w:lang w:val="sv-SE"/>
        </w:rPr>
        <w:t xml:space="preserve">gen och ackordlönerna höjs med 0,4 procent. </w:t>
      </w:r>
    </w:p>
    <w:p w:rsidR="002C3EB2" w:rsidRPr="00754B7B" w:rsidRDefault="002C3EB2">
      <w:pPr>
        <w:spacing w:before="240"/>
        <w:ind w:left="669"/>
        <w:rPr>
          <w:lang w:val="sv-SE"/>
        </w:rPr>
      </w:pPr>
      <w:r w:rsidRPr="00754B7B">
        <w:rPr>
          <w:lang w:val="sv-SE"/>
        </w:rPr>
        <w:t>Lokal justeringspott 1.9.2010 på basis av resultatförbättring</w:t>
      </w:r>
    </w:p>
    <w:p w:rsidR="002C3EB2" w:rsidRPr="00754B7B" w:rsidRDefault="002C3EB2">
      <w:pPr>
        <w:tabs>
          <w:tab w:val="left" w:pos="1520"/>
        </w:tabs>
        <w:spacing w:before="240"/>
        <w:ind w:left="1520"/>
        <w:rPr>
          <w:lang w:val="sv-SE"/>
        </w:rPr>
      </w:pPr>
      <w:r w:rsidRPr="00754B7B">
        <w:rPr>
          <w:lang w:val="sv-SE"/>
        </w:rPr>
        <w:t>En lokal justeringspott på 0,7 % fördelas 1.9.2010 på basis av fö</w:t>
      </w:r>
      <w:r w:rsidRPr="00754B7B">
        <w:rPr>
          <w:lang w:val="sv-SE"/>
        </w:rPr>
        <w:t>r</w:t>
      </w:r>
      <w:r w:rsidRPr="00754B7B">
        <w:rPr>
          <w:lang w:val="sv-SE"/>
        </w:rPr>
        <w:t>bättrade resultat.</w:t>
      </w:r>
    </w:p>
    <w:p w:rsidR="002C3EB2" w:rsidRPr="00754B7B" w:rsidRDefault="002C3EB2">
      <w:pPr>
        <w:tabs>
          <w:tab w:val="left" w:pos="1520"/>
        </w:tabs>
        <w:spacing w:before="240"/>
        <w:ind w:left="1520"/>
        <w:rPr>
          <w:lang w:val="sv-SE"/>
        </w:rPr>
      </w:pPr>
      <w:r w:rsidRPr="00754B7B">
        <w:rPr>
          <w:lang w:val="sv-SE"/>
        </w:rPr>
        <w:t>Syftet med den lokala potten är att förbättra resultaten inom servicepr</w:t>
      </w:r>
      <w:r w:rsidRPr="00754B7B">
        <w:rPr>
          <w:lang w:val="sv-SE"/>
        </w:rPr>
        <w:t>o</w:t>
      </w:r>
      <w:r w:rsidRPr="00754B7B">
        <w:rPr>
          <w:lang w:val="sv-SE"/>
        </w:rPr>
        <w:t>duktionen i kommunen, samkommunen eller dess verksamhetsenhet. A</w:t>
      </w:r>
      <w:r w:rsidRPr="00754B7B">
        <w:rPr>
          <w:lang w:val="sv-SE"/>
        </w:rPr>
        <w:t>r</w:t>
      </w:r>
      <w:r w:rsidRPr="00754B7B">
        <w:rPr>
          <w:lang w:val="sv-SE"/>
        </w:rPr>
        <w:t>betsgivaren ska ge alla anställda som omfattas av avtalet möjlighet att delta i resultatfrämjande projekt.</w:t>
      </w:r>
    </w:p>
    <w:p w:rsidR="002C3EB2" w:rsidRPr="00754B7B" w:rsidRDefault="002C3EB2">
      <w:pPr>
        <w:tabs>
          <w:tab w:val="left" w:pos="1520"/>
        </w:tabs>
        <w:spacing w:before="240"/>
        <w:ind w:left="1520"/>
        <w:rPr>
          <w:lang w:val="sv-SE"/>
        </w:rPr>
      </w:pPr>
      <w:r w:rsidRPr="00754B7B">
        <w:rPr>
          <w:lang w:val="sv-SE"/>
        </w:rPr>
        <w:t>Som utgångspunkt för betalningen av potten fastställs på förhand sådana resultatmål för resultat- eller verksamhetsenheterna som bygger på ko</w:t>
      </w:r>
      <w:r w:rsidRPr="00754B7B">
        <w:rPr>
          <w:lang w:val="sv-SE"/>
        </w:rPr>
        <w:t>m</w:t>
      </w:r>
      <w:r w:rsidRPr="00754B7B">
        <w:rPr>
          <w:lang w:val="sv-SE"/>
        </w:rPr>
        <w:t>munens eller samkommunens strategiska mål. Dessutom fastställs pr</w:t>
      </w:r>
      <w:r w:rsidRPr="00754B7B">
        <w:rPr>
          <w:lang w:val="sv-SE"/>
        </w:rPr>
        <w:t>e</w:t>
      </w:r>
      <w:r w:rsidRPr="00754B7B">
        <w:rPr>
          <w:lang w:val="sv-SE"/>
        </w:rPr>
        <w:t>stationsnivåerna, granskningsperioden och hur måluppfyllelsen ska m</w:t>
      </w:r>
      <w:r w:rsidRPr="00754B7B">
        <w:rPr>
          <w:lang w:val="sv-SE"/>
        </w:rPr>
        <w:t>ä</w:t>
      </w:r>
      <w:r w:rsidRPr="00754B7B">
        <w:rPr>
          <w:lang w:val="sv-SE"/>
        </w:rPr>
        <w:lastRenderedPageBreak/>
        <w:t>tas. Måtten kan vara nyckeltal eller beskriva resultatet av till exempel ett utvecklingsprojekt. Resultatet bedöms genom en helhetsbedömning.</w:t>
      </w:r>
    </w:p>
    <w:p w:rsidR="002C3EB2" w:rsidRPr="00754B7B" w:rsidRDefault="002C3EB2">
      <w:pPr>
        <w:spacing w:before="240"/>
        <w:ind w:left="669"/>
        <w:rPr>
          <w:lang w:val="sv-SE"/>
        </w:rPr>
      </w:pPr>
      <w:r w:rsidRPr="00754B7B">
        <w:rPr>
          <w:lang w:val="sv-SE"/>
        </w:rPr>
        <w:t xml:space="preserve">Användning, beräkning och fördelning av den lokala justeringspotten </w:t>
      </w:r>
    </w:p>
    <w:p w:rsidR="002C3EB2" w:rsidRPr="00754B7B" w:rsidRDefault="002C3EB2">
      <w:pPr>
        <w:tabs>
          <w:tab w:val="left" w:pos="1520"/>
        </w:tabs>
        <w:spacing w:before="240"/>
        <w:ind w:left="1520"/>
        <w:rPr>
          <w:lang w:val="sv-SE"/>
        </w:rPr>
      </w:pPr>
      <w:r w:rsidRPr="00754B7B">
        <w:rPr>
          <w:lang w:val="sv-SE"/>
        </w:rPr>
        <w:t>Den lokala potten beräknas på summan av medeltiminkomsterna enligt TIM-AKA § 35 för de arbetstagare som omfattas av resulta</w:t>
      </w:r>
      <w:r w:rsidRPr="00754B7B">
        <w:rPr>
          <w:lang w:val="sv-SE"/>
        </w:rPr>
        <w:t>t</w:t>
      </w:r>
      <w:r w:rsidRPr="00754B7B">
        <w:rPr>
          <w:lang w:val="sv-SE"/>
        </w:rPr>
        <w:t>målen. Potten används för höjning av dessa arbetstagares uppgift</w:t>
      </w:r>
      <w:r w:rsidRPr="00754B7B">
        <w:rPr>
          <w:lang w:val="sv-SE"/>
        </w:rPr>
        <w:t>s</w:t>
      </w:r>
      <w:r w:rsidRPr="00754B7B">
        <w:rPr>
          <w:lang w:val="sv-SE"/>
        </w:rPr>
        <w:t>relaterade löner eller för individuella tillägg i enlighet med målup</w:t>
      </w:r>
      <w:r w:rsidRPr="00754B7B">
        <w:rPr>
          <w:lang w:val="sv-SE"/>
        </w:rPr>
        <w:t>p</w:t>
      </w:r>
      <w:r w:rsidRPr="00754B7B">
        <w:rPr>
          <w:lang w:val="sv-SE"/>
        </w:rPr>
        <w:t xml:space="preserve">fyllelsen. </w:t>
      </w:r>
    </w:p>
    <w:p w:rsidR="002C3EB2" w:rsidRPr="00754B7B" w:rsidRDefault="002C3EB2">
      <w:pPr>
        <w:tabs>
          <w:tab w:val="left" w:pos="1520"/>
        </w:tabs>
        <w:spacing w:before="240"/>
        <w:ind w:left="1520"/>
        <w:rPr>
          <w:lang w:val="sv-SE"/>
        </w:rPr>
      </w:pPr>
      <w:r w:rsidRPr="00754B7B">
        <w:rPr>
          <w:lang w:val="sv-SE"/>
        </w:rPr>
        <w:t>Om målen uppfylls endast delvis får de som omfattas av potten e</w:t>
      </w:r>
      <w:r w:rsidRPr="00754B7B">
        <w:rPr>
          <w:lang w:val="sv-SE"/>
        </w:rPr>
        <w:t>n</w:t>
      </w:r>
      <w:r w:rsidRPr="00754B7B">
        <w:rPr>
          <w:lang w:val="sv-SE"/>
        </w:rPr>
        <w:t>dast en sådan andel som motsvarar de uppfyllda målen. Resten av potten a</w:t>
      </w:r>
      <w:r w:rsidRPr="00754B7B">
        <w:rPr>
          <w:lang w:val="sv-SE"/>
        </w:rPr>
        <w:t>n</w:t>
      </w:r>
      <w:r w:rsidRPr="00754B7B">
        <w:rPr>
          <w:lang w:val="sv-SE"/>
        </w:rPr>
        <w:t>vänds för individuella tillägg.</w:t>
      </w:r>
    </w:p>
    <w:p w:rsidR="002C3EB2" w:rsidRPr="00754B7B" w:rsidRDefault="002C3EB2">
      <w:pPr>
        <w:tabs>
          <w:tab w:val="left" w:pos="1520"/>
        </w:tabs>
        <w:spacing w:before="240"/>
        <w:ind w:left="1520"/>
        <w:rPr>
          <w:lang w:val="sv-SE"/>
        </w:rPr>
      </w:pPr>
      <w:r w:rsidRPr="00754B7B">
        <w:rPr>
          <w:lang w:val="sv-SE"/>
        </w:rPr>
        <w:t>Målet för den lokala potten är att förbättra resultaten och produktiviteten och att bromsa utgiftsökningen. Kostnadsbesparingar kan uppnås bland annat genom en mer ändamålsenlig personalstruktur, arbetsorganisering och arbetsledning samt genom ny teknik och samarbete med andra akt</w:t>
      </w:r>
      <w:r w:rsidRPr="00754B7B">
        <w:rPr>
          <w:lang w:val="sv-SE"/>
        </w:rPr>
        <w:t>ö</w:t>
      </w:r>
      <w:r w:rsidRPr="00754B7B">
        <w:rPr>
          <w:lang w:val="sv-SE"/>
        </w:rPr>
        <w:t>rer. Också kommun- och servicestruktu</w:t>
      </w:r>
      <w:r w:rsidRPr="00754B7B">
        <w:rPr>
          <w:lang w:val="sv-SE"/>
        </w:rPr>
        <w:t>r</w:t>
      </w:r>
      <w:r w:rsidRPr="00754B7B">
        <w:rPr>
          <w:lang w:val="sv-SE"/>
        </w:rPr>
        <w:t xml:space="preserve">reformen syftar till effektivering av verksamheten. </w:t>
      </w:r>
    </w:p>
    <w:p w:rsidR="002C3EB2" w:rsidRPr="00754B7B" w:rsidRDefault="002C3EB2">
      <w:pPr>
        <w:spacing w:before="240"/>
        <w:ind w:left="669"/>
        <w:rPr>
          <w:lang w:val="sv-SE"/>
        </w:rPr>
      </w:pPr>
      <w:r w:rsidRPr="00754B7B">
        <w:rPr>
          <w:lang w:val="sv-SE"/>
        </w:rPr>
        <w:t>Användningen av och förhandlingar om den lokala justeringspotten</w:t>
      </w:r>
    </w:p>
    <w:p w:rsidR="002C3EB2" w:rsidRPr="00754B7B" w:rsidRDefault="002C3EB2">
      <w:pPr>
        <w:spacing w:before="240"/>
        <w:ind w:left="1520"/>
        <w:jc w:val="both"/>
        <w:rPr>
          <w:lang w:val="sv-SE"/>
        </w:rPr>
      </w:pPr>
      <w:r w:rsidRPr="00754B7B">
        <w:rPr>
          <w:lang w:val="sv-SE"/>
        </w:rPr>
        <w:t>Den behöriga kommunala myndigheten och representanten för huvuda</w:t>
      </w:r>
      <w:r w:rsidRPr="00754B7B">
        <w:rPr>
          <w:lang w:val="sv-SE"/>
        </w:rPr>
        <w:t>v</w:t>
      </w:r>
      <w:r w:rsidRPr="00754B7B">
        <w:rPr>
          <w:lang w:val="sv-SE"/>
        </w:rPr>
        <w:t>talsorganisationen förhandlar om användningen av den lokala justering</w:t>
      </w:r>
      <w:r w:rsidRPr="00754B7B">
        <w:rPr>
          <w:lang w:val="sv-SE"/>
        </w:rPr>
        <w:t>s</w:t>
      </w:r>
      <w:r w:rsidRPr="00754B7B">
        <w:rPr>
          <w:lang w:val="sv-SE"/>
        </w:rPr>
        <w:t>potten. Målet för förhandlingarna är att ge personalen faktiska påver</w:t>
      </w:r>
      <w:r w:rsidRPr="00754B7B">
        <w:rPr>
          <w:lang w:val="sv-SE"/>
        </w:rPr>
        <w:t>k</w:t>
      </w:r>
      <w:r w:rsidRPr="00754B7B">
        <w:rPr>
          <w:lang w:val="sv-SE"/>
        </w:rPr>
        <w:t>ningsmöjligheter och att i mån av möjlighet försöka uppnå enighet genom att höra förhandlingsparterna på lika villkor.  Parterna förhandlar om a</w:t>
      </w:r>
      <w:r w:rsidRPr="00754B7B">
        <w:rPr>
          <w:lang w:val="sv-SE"/>
        </w:rPr>
        <w:t>n</w:t>
      </w:r>
      <w:r w:rsidRPr="00754B7B">
        <w:rPr>
          <w:lang w:val="sv-SE"/>
        </w:rPr>
        <w:t>vändningen av justeringspotten för de ändamål som anges i denna par</w:t>
      </w:r>
      <w:r w:rsidRPr="00754B7B">
        <w:rPr>
          <w:lang w:val="sv-SE"/>
        </w:rPr>
        <w:t>a</w:t>
      </w:r>
      <w:r w:rsidRPr="00754B7B">
        <w:rPr>
          <w:lang w:val="sv-SE"/>
        </w:rPr>
        <w:t>graf och om höjningen av grundtimlöner och ackordslöner och storleken på potten för individuella tillägg. Över förhandlingarna upprättas ett prot</w:t>
      </w:r>
      <w:r w:rsidRPr="00754B7B">
        <w:rPr>
          <w:lang w:val="sv-SE"/>
        </w:rPr>
        <w:t>o</w:t>
      </w:r>
      <w:r w:rsidRPr="00754B7B">
        <w:rPr>
          <w:lang w:val="sv-SE"/>
        </w:rPr>
        <w:t>koll av vilket parternas ståndpunkter med eventuella motiveringar ska framgå. Om enighet i ärendet inte kan nås, beslutar den behöriga my</w:t>
      </w:r>
      <w:r w:rsidRPr="00754B7B">
        <w:rPr>
          <w:lang w:val="sv-SE"/>
        </w:rPr>
        <w:t>n</w:t>
      </w:r>
      <w:r w:rsidRPr="00754B7B">
        <w:rPr>
          <w:lang w:val="sv-SE"/>
        </w:rPr>
        <w:t>digheten i kommunen eller samkommunen hur justeringspotten används för höjning av uppgiftsrelaterade löner och individuella tillägg eller mo</w:t>
      </w:r>
      <w:r w:rsidRPr="00754B7B">
        <w:rPr>
          <w:lang w:val="sv-SE"/>
        </w:rPr>
        <w:t>t</w:t>
      </w:r>
      <w:r w:rsidRPr="00754B7B">
        <w:rPr>
          <w:lang w:val="sv-SE"/>
        </w:rPr>
        <w:t>svarande höjningar.</w:t>
      </w:r>
    </w:p>
    <w:p w:rsidR="002C3EB2" w:rsidRPr="00754B7B" w:rsidRDefault="002C3EB2" w:rsidP="00754B7B">
      <w:pPr>
        <w:spacing w:before="240"/>
        <w:ind w:left="669" w:hanging="669"/>
        <w:rPr>
          <w:lang w:val="sv-SE"/>
        </w:rPr>
      </w:pPr>
      <w:r w:rsidRPr="00754B7B">
        <w:rPr>
          <w:lang w:val="sv-SE"/>
        </w:rPr>
        <w:t>§ 3</w:t>
      </w:r>
      <w:r w:rsidRPr="00754B7B">
        <w:rPr>
          <w:lang w:val="sv-SE"/>
        </w:rPr>
        <w:tab/>
        <w:t>Löneförhöjningar år 2011</w:t>
      </w:r>
    </w:p>
    <w:p w:rsidR="002C3EB2" w:rsidRPr="00754B7B" w:rsidRDefault="002C3EB2" w:rsidP="00754B7B">
      <w:pPr>
        <w:spacing w:before="240"/>
        <w:ind w:left="1520"/>
        <w:jc w:val="both"/>
        <w:rPr>
          <w:lang w:val="sv-SE"/>
        </w:rPr>
      </w:pPr>
      <w:r w:rsidRPr="00754B7B">
        <w:rPr>
          <w:lang w:val="sv-SE"/>
        </w:rPr>
        <w:t>Löneförhöjningar 1.5.2011 eller senare förhandlas fram senast 31.1.2011.</w:t>
      </w:r>
    </w:p>
    <w:p w:rsidR="002C3EB2" w:rsidRPr="00754B7B" w:rsidRDefault="002C3EB2">
      <w:pPr>
        <w:spacing w:before="240"/>
        <w:ind w:left="669" w:hanging="669"/>
        <w:rPr>
          <w:lang w:val="sv-SE"/>
        </w:rPr>
      </w:pPr>
      <w:r w:rsidRPr="00754B7B">
        <w:rPr>
          <w:lang w:val="sv-SE"/>
        </w:rPr>
        <w:t>§ 4</w:t>
      </w:r>
      <w:r w:rsidRPr="00754B7B">
        <w:rPr>
          <w:lang w:val="sv-SE"/>
        </w:rPr>
        <w:tab/>
        <w:t>Ändringar och preciseringar i avtalstexten</w:t>
      </w:r>
    </w:p>
    <w:p w:rsidR="002C3EB2" w:rsidRPr="00754B7B" w:rsidRDefault="002C3EB2">
      <w:pPr>
        <w:spacing w:before="240"/>
        <w:ind w:left="1520"/>
        <w:jc w:val="both"/>
        <w:rPr>
          <w:lang w:val="sv-SE"/>
        </w:rPr>
      </w:pPr>
      <w:r w:rsidRPr="00754B7B">
        <w:rPr>
          <w:lang w:val="sv-SE"/>
        </w:rPr>
        <w:t>§ 2  Lokala avtal</w:t>
      </w:r>
    </w:p>
    <w:p w:rsidR="002C3EB2" w:rsidRPr="00754B7B" w:rsidRDefault="002C3EB2">
      <w:pPr>
        <w:ind w:left="1520"/>
        <w:jc w:val="both"/>
        <w:rPr>
          <w:lang w:val="sv-SE"/>
        </w:rPr>
      </w:pPr>
      <w:r w:rsidRPr="00754B7B">
        <w:rPr>
          <w:lang w:val="sv-SE"/>
        </w:rPr>
        <w:t>Det har blivit möjligt att avvika från semesterbestämmelserna i fråga om personal som överförts från en annan arbetsgivare.</w:t>
      </w:r>
    </w:p>
    <w:p w:rsidR="002C3EB2" w:rsidRPr="00754B7B" w:rsidRDefault="002C3EB2">
      <w:pPr>
        <w:spacing w:before="240"/>
        <w:ind w:left="1520"/>
        <w:jc w:val="both"/>
        <w:rPr>
          <w:lang w:val="sv-SE"/>
        </w:rPr>
      </w:pPr>
      <w:r w:rsidRPr="00754B7B">
        <w:rPr>
          <w:lang w:val="sv-SE"/>
        </w:rPr>
        <w:t>§ 61 Sjuklön</w:t>
      </w:r>
    </w:p>
    <w:p w:rsidR="002C3EB2" w:rsidRPr="00754B7B" w:rsidRDefault="002C3EB2">
      <w:pPr>
        <w:ind w:left="1520"/>
        <w:jc w:val="both"/>
        <w:rPr>
          <w:lang w:val="sv-SE"/>
        </w:rPr>
      </w:pPr>
      <w:r w:rsidRPr="00754B7B">
        <w:rPr>
          <w:lang w:val="sv-SE"/>
        </w:rPr>
        <w:t>Lönebetalningen under den första sjukledighetsdagen när läkarintyg inte lämnats in i tid.</w:t>
      </w:r>
    </w:p>
    <w:p w:rsidR="002C3EB2" w:rsidRPr="00754B7B" w:rsidRDefault="002C3EB2">
      <w:pPr>
        <w:spacing w:before="240"/>
        <w:ind w:left="1520"/>
        <w:jc w:val="both"/>
        <w:rPr>
          <w:lang w:val="sv-SE"/>
        </w:rPr>
      </w:pPr>
      <w:r w:rsidRPr="00754B7B">
        <w:rPr>
          <w:lang w:val="sv-SE"/>
        </w:rPr>
        <w:lastRenderedPageBreak/>
        <w:t>§ 65 Plötsligt insjuknat barn</w:t>
      </w:r>
    </w:p>
    <w:p w:rsidR="002C3EB2" w:rsidRPr="00754B7B" w:rsidRDefault="002C3EB2">
      <w:pPr>
        <w:ind w:left="1520"/>
        <w:jc w:val="both"/>
        <w:rPr>
          <w:lang w:val="sv-SE"/>
        </w:rPr>
      </w:pPr>
      <w:r w:rsidRPr="00754B7B">
        <w:rPr>
          <w:lang w:val="sv-SE"/>
        </w:rPr>
        <w:t>Rätt till lön för förälder som inte bor i samma hushåll som barnet.</w:t>
      </w:r>
    </w:p>
    <w:p w:rsidR="002C3EB2" w:rsidRPr="00754B7B" w:rsidRDefault="002C3EB2">
      <w:pPr>
        <w:spacing w:before="240"/>
        <w:ind w:left="1520"/>
        <w:jc w:val="both"/>
        <w:rPr>
          <w:lang w:val="sv-SE"/>
        </w:rPr>
      </w:pPr>
      <w:r w:rsidRPr="00754B7B">
        <w:rPr>
          <w:lang w:val="sv-SE"/>
        </w:rPr>
        <w:t>§ 71 Förtroendemän</w:t>
      </w:r>
    </w:p>
    <w:p w:rsidR="002C3EB2" w:rsidRPr="00754B7B" w:rsidRDefault="002C3EB2">
      <w:pPr>
        <w:ind w:left="1520"/>
        <w:jc w:val="both"/>
        <w:rPr>
          <w:lang w:val="sv-SE"/>
        </w:rPr>
      </w:pPr>
      <w:r w:rsidRPr="00754B7B">
        <w:rPr>
          <w:lang w:val="sv-SE"/>
        </w:rPr>
        <w:t>Det individuella tillägget för huvudförtroendemän har höjts.</w:t>
      </w:r>
    </w:p>
    <w:p w:rsidR="002C3EB2" w:rsidRPr="00754B7B" w:rsidRDefault="002C3EB2">
      <w:pPr>
        <w:spacing w:before="240"/>
        <w:ind w:left="1520"/>
        <w:jc w:val="both"/>
        <w:rPr>
          <w:lang w:val="sv-SE"/>
        </w:rPr>
      </w:pPr>
      <w:r w:rsidRPr="00754B7B">
        <w:rPr>
          <w:lang w:val="sv-SE"/>
        </w:rPr>
        <w:t>§ 72 Arbetarskyddsfullmäktige</w:t>
      </w:r>
    </w:p>
    <w:p w:rsidR="002C3EB2" w:rsidRPr="00754B7B" w:rsidRDefault="002C3EB2">
      <w:pPr>
        <w:ind w:left="1520"/>
        <w:jc w:val="both"/>
        <w:rPr>
          <w:lang w:val="sv-SE"/>
        </w:rPr>
      </w:pPr>
      <w:r w:rsidRPr="00754B7B">
        <w:rPr>
          <w:lang w:val="sv-SE"/>
        </w:rPr>
        <w:t>Ersättningen till arbetarskyddsfullmäktige har höjts.</w:t>
      </w:r>
    </w:p>
    <w:p w:rsidR="002C3EB2" w:rsidRPr="00754B7B" w:rsidRDefault="002C3EB2">
      <w:pPr>
        <w:tabs>
          <w:tab w:val="left" w:pos="669"/>
          <w:tab w:val="left" w:pos="1520"/>
        </w:tabs>
        <w:spacing w:before="240"/>
        <w:ind w:left="1520" w:hanging="1520"/>
        <w:jc w:val="both"/>
        <w:rPr>
          <w:lang w:val="sv-SE"/>
        </w:rPr>
      </w:pPr>
      <w:r w:rsidRPr="00754B7B">
        <w:rPr>
          <w:lang w:val="sv-SE"/>
        </w:rPr>
        <w:t>§ 5</w:t>
      </w:r>
      <w:r w:rsidRPr="00754B7B">
        <w:rPr>
          <w:lang w:val="sv-SE"/>
        </w:rPr>
        <w:tab/>
        <w:t>Fortlöpande förhandlingar</w:t>
      </w:r>
    </w:p>
    <w:p w:rsidR="002C3EB2" w:rsidRPr="00754B7B" w:rsidRDefault="002C3EB2">
      <w:pPr>
        <w:spacing w:before="240"/>
        <w:ind w:left="1520"/>
        <w:rPr>
          <w:lang w:val="sv-SE"/>
        </w:rPr>
      </w:pPr>
      <w:r w:rsidRPr="00754B7B">
        <w:rPr>
          <w:lang w:val="sv-SE"/>
        </w:rPr>
        <w:t>Avtalsparterna iakttar principerna om fortlöpande förhandlingar under a</w:t>
      </w:r>
      <w:r w:rsidRPr="00754B7B">
        <w:rPr>
          <w:lang w:val="sv-SE"/>
        </w:rPr>
        <w:t>v</w:t>
      </w:r>
      <w:r w:rsidRPr="00754B7B">
        <w:rPr>
          <w:lang w:val="sv-SE"/>
        </w:rPr>
        <w:t>talsperioden i de kollektivavtalsfrågor som parterna tar upp.</w:t>
      </w:r>
    </w:p>
    <w:p w:rsidR="002C3EB2" w:rsidRPr="00754B7B" w:rsidRDefault="002C3EB2">
      <w:pPr>
        <w:tabs>
          <w:tab w:val="left" w:pos="0"/>
          <w:tab w:val="left" w:pos="669"/>
          <w:tab w:val="left" w:pos="1520"/>
          <w:tab w:val="left" w:pos="2087"/>
        </w:tabs>
        <w:spacing w:before="240"/>
        <w:ind w:left="1559" w:hanging="1559"/>
        <w:jc w:val="both"/>
        <w:rPr>
          <w:lang w:val="sv-SE"/>
        </w:rPr>
      </w:pPr>
      <w:r w:rsidRPr="00754B7B">
        <w:rPr>
          <w:lang w:val="sv-SE"/>
        </w:rPr>
        <w:t>§ 6</w:t>
      </w:r>
      <w:r w:rsidRPr="00754B7B">
        <w:rPr>
          <w:lang w:val="sv-SE"/>
        </w:rPr>
        <w:tab/>
        <w:t>Bättre anställningsvillkor än i kollektivavtalet</w:t>
      </w:r>
    </w:p>
    <w:p w:rsidR="002C3EB2" w:rsidRPr="00754B7B" w:rsidRDefault="002C3EB2">
      <w:pPr>
        <w:tabs>
          <w:tab w:val="num" w:pos="1664"/>
        </w:tabs>
        <w:spacing w:before="240"/>
        <w:ind w:left="1520"/>
        <w:jc w:val="both"/>
        <w:rPr>
          <w:lang w:val="sv-SE"/>
        </w:rPr>
      </w:pPr>
      <w:r w:rsidRPr="00754B7B">
        <w:rPr>
          <w:lang w:val="sv-SE"/>
        </w:rPr>
        <w:t>Anställningsvillkor som 31.1.2010 var bättre än villkoren i detta kollekti</w:t>
      </w:r>
      <w:r w:rsidRPr="00754B7B">
        <w:rPr>
          <w:lang w:val="sv-SE"/>
        </w:rPr>
        <w:t>v</w:t>
      </w:r>
      <w:r w:rsidRPr="00754B7B">
        <w:rPr>
          <w:lang w:val="sv-SE"/>
        </w:rPr>
        <w:t>avtal och den lönenivå som uppstått på basis av de tidigare bättre villk</w:t>
      </w:r>
      <w:r w:rsidRPr="00754B7B">
        <w:rPr>
          <w:lang w:val="sv-SE"/>
        </w:rPr>
        <w:t>o</w:t>
      </w:r>
      <w:r w:rsidRPr="00754B7B">
        <w:rPr>
          <w:lang w:val="sv-SE"/>
        </w:rPr>
        <w:t>ren förblir oförändrade om inte något annat har överenskommits genom detta kollektivavtal.</w:t>
      </w:r>
    </w:p>
    <w:p w:rsidR="002C3EB2" w:rsidRPr="00754B7B" w:rsidRDefault="002C3EB2">
      <w:pPr>
        <w:tabs>
          <w:tab w:val="num" w:pos="1664"/>
        </w:tabs>
        <w:spacing w:before="240"/>
        <w:ind w:left="1520"/>
        <w:jc w:val="both"/>
        <w:rPr>
          <w:lang w:val="sv-SE"/>
        </w:rPr>
      </w:pPr>
      <w:r w:rsidRPr="00754B7B">
        <w:rPr>
          <w:lang w:val="sv-SE"/>
        </w:rPr>
        <w:t>Lokala system som gäller ersättning för resekostnader eller kostpenning iakttas oförändrade, om man inte lokalt kommer överens om att börja ti</w:t>
      </w:r>
      <w:r w:rsidRPr="00754B7B">
        <w:rPr>
          <w:lang w:val="sv-SE"/>
        </w:rPr>
        <w:t>l</w:t>
      </w:r>
      <w:r w:rsidRPr="00754B7B">
        <w:rPr>
          <w:lang w:val="sv-SE"/>
        </w:rPr>
        <w:t>lämpa § 39–43 i kollektivavtalet.</w:t>
      </w:r>
    </w:p>
    <w:p w:rsidR="002C3EB2" w:rsidRPr="00754B7B" w:rsidRDefault="002C3EB2">
      <w:pPr>
        <w:widowControl w:val="0"/>
        <w:spacing w:before="240"/>
        <w:ind w:left="669" w:hanging="669"/>
        <w:rPr>
          <w:lang w:val="sv-SE"/>
        </w:rPr>
      </w:pPr>
      <w:r w:rsidRPr="00754B7B">
        <w:rPr>
          <w:lang w:val="sv-SE"/>
        </w:rPr>
        <w:t>§ 7</w:t>
      </w:r>
      <w:r w:rsidRPr="00754B7B">
        <w:rPr>
          <w:lang w:val="sv-SE"/>
        </w:rPr>
        <w:tab/>
        <w:t>Unga arbetstagare</w:t>
      </w:r>
    </w:p>
    <w:p w:rsidR="002C3EB2" w:rsidRPr="00754B7B" w:rsidRDefault="002C3EB2">
      <w:pPr>
        <w:widowControl w:val="0"/>
        <w:tabs>
          <w:tab w:val="num" w:pos="1664"/>
        </w:tabs>
        <w:spacing w:before="240"/>
        <w:ind w:left="1520"/>
        <w:jc w:val="both"/>
        <w:rPr>
          <w:lang w:val="sv-SE"/>
        </w:rPr>
      </w:pPr>
      <w:r w:rsidRPr="00754B7B">
        <w:rPr>
          <w:lang w:val="sv-SE"/>
        </w:rPr>
        <w:t>Medan detta kollektivavtal är i kraft kan man komma överens om följande i fråga om lönen för unga arbetstagare:</w:t>
      </w:r>
    </w:p>
    <w:p w:rsidR="002C3EB2" w:rsidRPr="00754B7B" w:rsidRDefault="002C3EB2">
      <w:pPr>
        <w:tabs>
          <w:tab w:val="num" w:pos="1664"/>
        </w:tabs>
        <w:spacing w:before="240"/>
        <w:ind w:left="1520"/>
        <w:jc w:val="both"/>
        <w:rPr>
          <w:lang w:val="sv-SE"/>
        </w:rPr>
      </w:pPr>
      <w:r w:rsidRPr="00754B7B">
        <w:rPr>
          <w:lang w:val="sv-SE"/>
        </w:rPr>
        <w:t>För att förbättra sysselsättnings- och praktikförutsättningarna för unga under 25 år kan den högsta lönen för unga betalas för oblig</w:t>
      </w:r>
      <w:r w:rsidRPr="00754B7B">
        <w:rPr>
          <w:lang w:val="sv-SE"/>
        </w:rPr>
        <w:t>a</w:t>
      </w:r>
      <w:r w:rsidRPr="00754B7B">
        <w:rPr>
          <w:lang w:val="sv-SE"/>
        </w:rPr>
        <w:t>torisk praktik i anknytning till examen.</w:t>
      </w:r>
    </w:p>
    <w:p w:rsidR="002C3EB2" w:rsidRPr="00754B7B" w:rsidRDefault="002C3EB2">
      <w:pPr>
        <w:tabs>
          <w:tab w:val="num" w:pos="1664"/>
        </w:tabs>
        <w:spacing w:before="240"/>
        <w:ind w:left="1520"/>
        <w:jc w:val="both"/>
        <w:rPr>
          <w:lang w:val="sv-SE"/>
        </w:rPr>
      </w:pPr>
      <w:r w:rsidRPr="00754B7B">
        <w:rPr>
          <w:lang w:val="sv-SE"/>
        </w:rPr>
        <w:t>För att förbättra sysselsättningsförutsättningarna för unga kan man g</w:t>
      </w:r>
      <w:r w:rsidRPr="00754B7B">
        <w:rPr>
          <w:lang w:val="sv-SE"/>
        </w:rPr>
        <w:t>e</w:t>
      </w:r>
      <w:r w:rsidRPr="00754B7B">
        <w:rPr>
          <w:lang w:val="sv-SE"/>
        </w:rPr>
        <w:t>nom lokala avtal avvika från bestämmelserna i § 31–32 i kollektivavtalet när det gäller lön för praktikantjobb, sommarjobb o.d. under semesterp</w:t>
      </w:r>
      <w:r w:rsidRPr="00754B7B">
        <w:rPr>
          <w:lang w:val="sv-SE"/>
        </w:rPr>
        <w:t>e</w:t>
      </w:r>
      <w:r w:rsidRPr="00754B7B">
        <w:rPr>
          <w:lang w:val="sv-SE"/>
        </w:rPr>
        <w:t>rioden. Denna bestämmelse gäller inte s.k. säson</w:t>
      </w:r>
      <w:r w:rsidRPr="00754B7B">
        <w:rPr>
          <w:lang w:val="sv-SE"/>
        </w:rPr>
        <w:t>g</w:t>
      </w:r>
      <w:r w:rsidRPr="00754B7B">
        <w:rPr>
          <w:lang w:val="sv-SE"/>
        </w:rPr>
        <w:t>arbetare.</w:t>
      </w:r>
    </w:p>
    <w:p w:rsidR="002C3EB2" w:rsidRPr="00754B7B" w:rsidRDefault="002C3EB2">
      <w:pPr>
        <w:widowControl w:val="0"/>
        <w:spacing w:before="240"/>
        <w:ind w:left="669" w:hanging="669"/>
        <w:rPr>
          <w:lang w:val="sv-SE"/>
        </w:rPr>
      </w:pPr>
      <w:r w:rsidRPr="00754B7B">
        <w:rPr>
          <w:lang w:val="sv-SE"/>
        </w:rPr>
        <w:t>§ 8</w:t>
      </w:r>
      <w:r w:rsidRPr="00754B7B">
        <w:rPr>
          <w:lang w:val="sv-SE"/>
        </w:rPr>
        <w:tab/>
        <w:t>Medlemsavgifter till fackföreningar</w:t>
      </w:r>
    </w:p>
    <w:p w:rsidR="002C3EB2" w:rsidRPr="00754B7B" w:rsidRDefault="002C3EB2">
      <w:pPr>
        <w:widowControl w:val="0"/>
        <w:tabs>
          <w:tab w:val="num" w:pos="1664"/>
        </w:tabs>
        <w:spacing w:before="240"/>
        <w:ind w:left="1520"/>
        <w:jc w:val="both"/>
        <w:rPr>
          <w:lang w:val="sv-SE"/>
        </w:rPr>
      </w:pPr>
      <w:r w:rsidRPr="00754B7B">
        <w:rPr>
          <w:lang w:val="sv-SE"/>
        </w:rPr>
        <w:t>Vid inkasseringen av medlemsavgifter till fackföreningar iakttas fortf</w:t>
      </w:r>
      <w:r w:rsidRPr="00754B7B">
        <w:rPr>
          <w:lang w:val="sv-SE"/>
        </w:rPr>
        <w:t>a</w:t>
      </w:r>
      <w:r w:rsidRPr="00754B7B">
        <w:rPr>
          <w:lang w:val="sv-SE"/>
        </w:rPr>
        <w:t>rande de bestämmelser som gällde 31.1.2010.</w:t>
      </w:r>
    </w:p>
    <w:p w:rsidR="002C3EB2" w:rsidRPr="00754B7B" w:rsidRDefault="002C3EB2">
      <w:pPr>
        <w:tabs>
          <w:tab w:val="num" w:pos="1664"/>
        </w:tabs>
        <w:spacing w:before="240" w:after="240"/>
        <w:ind w:left="1520"/>
        <w:jc w:val="both"/>
        <w:rPr>
          <w:lang w:val="sv-SE"/>
        </w:rPr>
      </w:pPr>
      <w:r w:rsidRPr="00754B7B">
        <w:rPr>
          <w:lang w:val="sv-SE"/>
        </w:rPr>
        <w:t>Helsingfors den 15 februari 2010</w:t>
      </w:r>
    </w:p>
    <w:p w:rsidR="002C3EB2" w:rsidRPr="00754B7B" w:rsidRDefault="002C3EB2" w:rsidP="00754B7B">
      <w:pPr>
        <w:tabs>
          <w:tab w:val="num" w:pos="1664"/>
        </w:tabs>
        <w:spacing w:after="240"/>
        <w:ind w:left="1520"/>
        <w:rPr>
          <w:lang w:val="sv-SE"/>
        </w:rPr>
      </w:pPr>
      <w:r w:rsidRPr="00754B7B">
        <w:rPr>
          <w:lang w:val="sv-SE"/>
        </w:rPr>
        <w:t>KOMMUNALA ARBETSMARKNADSVERKET</w:t>
      </w:r>
      <w:r w:rsidR="00754B7B">
        <w:rPr>
          <w:lang w:val="sv-SE"/>
        </w:rPr>
        <w:br/>
      </w:r>
      <w:r w:rsidR="00754B7B">
        <w:rPr>
          <w:lang w:val="sv-SE"/>
        </w:rPr>
        <w:br/>
      </w:r>
      <w:r w:rsidRPr="00754B7B">
        <w:rPr>
          <w:lang w:val="sv-SE"/>
        </w:rPr>
        <w:t xml:space="preserve">FÖRBUNDET FÖR DEN OFFENTLIGA SEKTORN OCH </w:t>
      </w:r>
      <w:r w:rsidR="00754B7B">
        <w:rPr>
          <w:lang w:val="sv-SE"/>
        </w:rPr>
        <w:br/>
      </w:r>
      <w:r w:rsidRPr="00754B7B">
        <w:rPr>
          <w:lang w:val="sv-SE"/>
        </w:rPr>
        <w:t>VÄLFÄRD</w:t>
      </w:r>
      <w:r w:rsidRPr="00754B7B">
        <w:rPr>
          <w:lang w:val="sv-SE"/>
        </w:rPr>
        <w:t>S</w:t>
      </w:r>
      <w:r w:rsidRPr="00754B7B">
        <w:rPr>
          <w:lang w:val="sv-SE"/>
        </w:rPr>
        <w:t xml:space="preserve">OMRÅDENA JHL RF </w:t>
      </w:r>
    </w:p>
    <w:sectPr w:rsidR="002C3EB2" w:rsidRPr="00754B7B">
      <w:headerReference w:type="default" r:id="rId7"/>
      <w:footerReference w:type="default" r:id="rId8"/>
      <w:pgSz w:w="11906" w:h="16838"/>
      <w:pgMar w:top="839" w:right="1588" w:bottom="1400" w:left="1588" w:header="680" w:footer="15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D5" w:rsidRDefault="004060D5">
      <w:r>
        <w:separator/>
      </w:r>
    </w:p>
  </w:endnote>
  <w:endnote w:type="continuationSeparator" w:id="0">
    <w:p w:rsidR="004060D5" w:rsidRDefault="004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B2" w:rsidRPr="00754B7B" w:rsidRDefault="002C3EB2">
    <w:pPr>
      <w:pStyle w:val="Alatunniste"/>
      <w:tabs>
        <w:tab w:val="clear" w:pos="4819"/>
        <w:tab w:val="center" w:pos="4536"/>
      </w:tabs>
      <w:spacing w:before="200"/>
      <w:rPr>
        <w:b/>
        <w:bCs/>
        <w:sz w:val="16"/>
        <w:szCs w:val="16"/>
      </w:rPr>
    </w:pPr>
    <w:r>
      <w:rPr>
        <w:rStyle w:val="Sivunumero"/>
        <w:noProof/>
        <w:sz w:val="16"/>
        <w:szCs w:val="16"/>
      </w:rPr>
      <w:t>yleiskirje1003sk</w:t>
    </w:r>
    <w:r w:rsidR="00754B7B">
      <w:rPr>
        <w:rStyle w:val="Sivunumero"/>
        <w:noProof/>
        <w:sz w:val="16"/>
        <w:szCs w:val="16"/>
      </w:rPr>
      <w:t>r-</w:t>
    </w:r>
    <w:r>
      <w:rPr>
        <w:rStyle w:val="Sivunumero"/>
        <w:noProof/>
        <w:sz w:val="16"/>
        <w:szCs w:val="16"/>
      </w:rPr>
      <w:t>liite1.doc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D5" w:rsidRDefault="004060D5">
      <w:r>
        <w:separator/>
      </w:r>
    </w:p>
  </w:footnote>
  <w:footnote w:type="continuationSeparator" w:id="0">
    <w:p w:rsidR="004060D5" w:rsidRDefault="0040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687"/>
      <w:gridCol w:w="2126"/>
      <w:gridCol w:w="1276"/>
      <w:gridCol w:w="567"/>
      <w:gridCol w:w="483"/>
    </w:tblGrid>
    <w:tr w:rsidR="002C3EB2">
      <w:tblPrEx>
        <w:tblCellMar>
          <w:top w:w="0" w:type="dxa"/>
          <w:bottom w:w="0" w:type="dxa"/>
        </w:tblCellMar>
      </w:tblPrEx>
      <w:tc>
        <w:tcPr>
          <w:tcW w:w="1304" w:type="dxa"/>
        </w:tcPr>
        <w:p w:rsidR="002C3EB2" w:rsidRDefault="002C3EB2">
          <w:pPr>
            <w:pStyle w:val="Yltunniste"/>
            <w:tabs>
              <w:tab w:val="clear" w:pos="4819"/>
              <w:tab w:val="clear" w:pos="9638"/>
            </w:tabs>
            <w:rPr>
              <w:b/>
              <w:bCs/>
            </w:rPr>
          </w:pPr>
          <w:r>
            <w:rPr>
              <w:b/>
              <w:bCs/>
              <w:noProof/>
            </w:rPr>
            <w:t>K</w:t>
          </w:r>
          <w:r w:rsidR="00754B7B">
            <w:rPr>
              <w:b/>
              <w:bCs/>
              <w:noProof/>
            </w:rPr>
            <w:t>A</w:t>
          </w:r>
        </w:p>
      </w:tc>
      <w:tc>
        <w:tcPr>
          <w:tcW w:w="1304" w:type="dxa"/>
        </w:tcPr>
        <w:p w:rsidR="002C3EB2" w:rsidRDefault="002C3EB2">
          <w:pPr>
            <w:pStyle w:val="Yltunniste"/>
            <w:tabs>
              <w:tab w:val="clear" w:pos="4819"/>
              <w:tab w:val="clear" w:pos="9638"/>
            </w:tabs>
          </w:pPr>
        </w:p>
      </w:tc>
      <w:tc>
        <w:tcPr>
          <w:tcW w:w="1304" w:type="dxa"/>
        </w:tcPr>
        <w:p w:rsidR="002C3EB2" w:rsidRDefault="002C3EB2">
          <w:pPr>
            <w:pStyle w:val="Yltunniste"/>
            <w:tabs>
              <w:tab w:val="clear" w:pos="4819"/>
              <w:tab w:val="clear" w:pos="9638"/>
            </w:tabs>
          </w:pPr>
        </w:p>
      </w:tc>
      <w:tc>
        <w:tcPr>
          <w:tcW w:w="1687" w:type="dxa"/>
        </w:tcPr>
        <w:p w:rsidR="002C3EB2" w:rsidRDefault="002C3EB2">
          <w:pPr>
            <w:pStyle w:val="Yltunniste"/>
            <w:tabs>
              <w:tab w:val="clear" w:pos="4819"/>
              <w:tab w:val="clear" w:pos="9638"/>
            </w:tabs>
          </w:pPr>
        </w:p>
      </w:tc>
      <w:tc>
        <w:tcPr>
          <w:tcW w:w="4452" w:type="dxa"/>
          <w:gridSpan w:val="4"/>
        </w:tcPr>
        <w:p w:rsidR="002C3EB2" w:rsidRDefault="00754B7B">
          <w:pPr>
            <w:pStyle w:val="Yltunniste"/>
            <w:tabs>
              <w:tab w:val="clear" w:pos="4819"/>
              <w:tab w:val="clear" w:pos="9638"/>
            </w:tabs>
            <w:rPr>
              <w:b/>
              <w:bCs/>
            </w:rPr>
          </w:pPr>
          <w:r>
            <w:rPr>
              <w:b/>
              <w:bCs/>
              <w:noProof/>
            </w:rPr>
            <w:t>Cirkulär 3/2010 bilaga</w:t>
          </w:r>
          <w:r w:rsidR="002C3EB2">
            <w:rPr>
              <w:b/>
              <w:bCs/>
              <w:noProof/>
            </w:rPr>
            <w:t xml:space="preserve"> 1</w:t>
          </w:r>
        </w:p>
      </w:tc>
    </w:tr>
    <w:tr w:rsidR="002C3EB2">
      <w:tblPrEx>
        <w:tblCellMar>
          <w:top w:w="0" w:type="dxa"/>
          <w:bottom w:w="0" w:type="dxa"/>
        </w:tblCellMar>
      </w:tblPrEx>
      <w:tc>
        <w:tcPr>
          <w:tcW w:w="1304" w:type="dxa"/>
        </w:tcPr>
        <w:p w:rsidR="002C3EB2" w:rsidRDefault="002C3EB2">
          <w:pPr>
            <w:pStyle w:val="Yltunniste"/>
            <w:tabs>
              <w:tab w:val="clear" w:pos="4819"/>
              <w:tab w:val="clear" w:pos="9638"/>
            </w:tabs>
          </w:pPr>
        </w:p>
      </w:tc>
      <w:tc>
        <w:tcPr>
          <w:tcW w:w="1304" w:type="dxa"/>
        </w:tcPr>
        <w:p w:rsidR="002C3EB2" w:rsidRDefault="002C3EB2">
          <w:pPr>
            <w:pStyle w:val="Yltunniste"/>
            <w:tabs>
              <w:tab w:val="clear" w:pos="4819"/>
              <w:tab w:val="clear" w:pos="9638"/>
            </w:tabs>
          </w:pPr>
        </w:p>
      </w:tc>
      <w:tc>
        <w:tcPr>
          <w:tcW w:w="1304" w:type="dxa"/>
        </w:tcPr>
        <w:p w:rsidR="002C3EB2" w:rsidRDefault="002C3EB2">
          <w:pPr>
            <w:pStyle w:val="Yltunniste"/>
            <w:tabs>
              <w:tab w:val="clear" w:pos="4819"/>
              <w:tab w:val="clear" w:pos="9638"/>
            </w:tabs>
          </w:pPr>
        </w:p>
      </w:tc>
      <w:tc>
        <w:tcPr>
          <w:tcW w:w="1687" w:type="dxa"/>
        </w:tcPr>
        <w:p w:rsidR="002C3EB2" w:rsidRDefault="002C3EB2">
          <w:pPr>
            <w:pStyle w:val="Yltunniste"/>
            <w:tabs>
              <w:tab w:val="clear" w:pos="4819"/>
              <w:tab w:val="clear" w:pos="9638"/>
            </w:tabs>
          </w:pPr>
        </w:p>
      </w:tc>
      <w:tc>
        <w:tcPr>
          <w:tcW w:w="2126" w:type="dxa"/>
        </w:tcPr>
        <w:p w:rsidR="002C3EB2" w:rsidRDefault="002C3EB2">
          <w:pPr>
            <w:pStyle w:val="Yltunniste"/>
            <w:tabs>
              <w:tab w:val="clear" w:pos="4819"/>
              <w:tab w:val="clear" w:pos="9638"/>
            </w:tabs>
          </w:pPr>
        </w:p>
      </w:tc>
      <w:tc>
        <w:tcPr>
          <w:tcW w:w="1276" w:type="dxa"/>
        </w:tcPr>
        <w:p w:rsidR="002C3EB2" w:rsidRDefault="002C3EB2">
          <w:pPr>
            <w:pStyle w:val="Yltunniste"/>
            <w:tabs>
              <w:tab w:val="clear" w:pos="4819"/>
              <w:tab w:val="clear" w:pos="9638"/>
            </w:tabs>
          </w:pPr>
        </w:p>
      </w:tc>
      <w:tc>
        <w:tcPr>
          <w:tcW w:w="567" w:type="dxa"/>
        </w:tcPr>
        <w:p w:rsidR="002C3EB2" w:rsidRDefault="002C3EB2">
          <w:pPr>
            <w:pStyle w:val="Yltunniste"/>
            <w:tabs>
              <w:tab w:val="clear" w:pos="4819"/>
              <w:tab w:val="clear" w:pos="9638"/>
            </w:tabs>
          </w:pPr>
        </w:p>
      </w:tc>
      <w:tc>
        <w:tcPr>
          <w:tcW w:w="483" w:type="dxa"/>
        </w:tcPr>
        <w:p w:rsidR="002C3EB2" w:rsidRDefault="002C3EB2">
          <w:pPr>
            <w:pStyle w:val="Yltunniste"/>
            <w:tabs>
              <w:tab w:val="clear" w:pos="4819"/>
              <w:tab w:val="clear" w:pos="9638"/>
            </w:tabs>
          </w:pPr>
        </w:p>
      </w:tc>
    </w:tr>
    <w:tr w:rsidR="002C3EB2">
      <w:tblPrEx>
        <w:tblCellMar>
          <w:top w:w="0" w:type="dxa"/>
          <w:bottom w:w="0" w:type="dxa"/>
        </w:tblCellMar>
      </w:tblPrEx>
      <w:tc>
        <w:tcPr>
          <w:tcW w:w="1304" w:type="dxa"/>
        </w:tcPr>
        <w:p w:rsidR="002C3EB2" w:rsidRDefault="002C3EB2">
          <w:pPr>
            <w:pStyle w:val="Yltunniste"/>
            <w:tabs>
              <w:tab w:val="clear" w:pos="4819"/>
              <w:tab w:val="clear" w:pos="9638"/>
            </w:tabs>
          </w:pPr>
        </w:p>
      </w:tc>
      <w:tc>
        <w:tcPr>
          <w:tcW w:w="1304" w:type="dxa"/>
        </w:tcPr>
        <w:p w:rsidR="002C3EB2" w:rsidRDefault="002C3EB2">
          <w:pPr>
            <w:pStyle w:val="Yltunniste"/>
            <w:tabs>
              <w:tab w:val="clear" w:pos="4819"/>
              <w:tab w:val="clear" w:pos="9638"/>
            </w:tabs>
          </w:pPr>
        </w:p>
      </w:tc>
      <w:tc>
        <w:tcPr>
          <w:tcW w:w="1304" w:type="dxa"/>
        </w:tcPr>
        <w:p w:rsidR="002C3EB2" w:rsidRDefault="002C3EB2">
          <w:pPr>
            <w:pStyle w:val="Yltunniste"/>
            <w:tabs>
              <w:tab w:val="clear" w:pos="4819"/>
              <w:tab w:val="clear" w:pos="9638"/>
            </w:tabs>
          </w:pPr>
        </w:p>
      </w:tc>
      <w:tc>
        <w:tcPr>
          <w:tcW w:w="1687" w:type="dxa"/>
        </w:tcPr>
        <w:p w:rsidR="002C3EB2" w:rsidRDefault="002C3EB2">
          <w:pPr>
            <w:pStyle w:val="Yltunniste"/>
            <w:tabs>
              <w:tab w:val="clear" w:pos="4819"/>
              <w:tab w:val="clear" w:pos="9638"/>
            </w:tabs>
          </w:pPr>
        </w:p>
      </w:tc>
      <w:tc>
        <w:tcPr>
          <w:tcW w:w="2126" w:type="dxa"/>
        </w:tcPr>
        <w:p w:rsidR="002C3EB2" w:rsidRDefault="002C3EB2">
          <w:pPr>
            <w:pStyle w:val="Yltunniste"/>
            <w:tabs>
              <w:tab w:val="clear" w:pos="4819"/>
              <w:tab w:val="clear" w:pos="9638"/>
            </w:tabs>
          </w:pPr>
        </w:p>
      </w:tc>
      <w:tc>
        <w:tcPr>
          <w:tcW w:w="1276" w:type="dxa"/>
        </w:tcPr>
        <w:p w:rsidR="002C3EB2" w:rsidRDefault="002C3EB2">
          <w:pPr>
            <w:pStyle w:val="Yltunniste"/>
            <w:tabs>
              <w:tab w:val="clear" w:pos="4819"/>
              <w:tab w:val="clear" w:pos="9638"/>
            </w:tabs>
          </w:pPr>
        </w:p>
      </w:tc>
      <w:tc>
        <w:tcPr>
          <w:tcW w:w="567" w:type="dxa"/>
        </w:tcPr>
        <w:p w:rsidR="002C3EB2" w:rsidRDefault="002C3EB2">
          <w:pPr>
            <w:pStyle w:val="Yltunniste"/>
            <w:tabs>
              <w:tab w:val="clear" w:pos="4819"/>
              <w:tab w:val="clear" w:pos="9638"/>
            </w:tabs>
          </w:pPr>
        </w:p>
      </w:tc>
      <w:tc>
        <w:tcPr>
          <w:tcW w:w="483" w:type="dxa"/>
        </w:tcPr>
        <w:p w:rsidR="002C3EB2" w:rsidRDefault="002C3EB2">
          <w:pPr>
            <w:pStyle w:val="Yltunniste"/>
            <w:tabs>
              <w:tab w:val="clear" w:pos="4819"/>
              <w:tab w:val="clear" w:pos="9638"/>
            </w:tabs>
          </w:pPr>
        </w:p>
      </w:tc>
    </w:tr>
    <w:tr w:rsidR="002C3EB2">
      <w:tblPrEx>
        <w:tblCellMar>
          <w:top w:w="0" w:type="dxa"/>
          <w:bottom w:w="0" w:type="dxa"/>
        </w:tblCellMar>
      </w:tblPrEx>
      <w:trPr>
        <w:cantSplit/>
      </w:trPr>
      <w:tc>
        <w:tcPr>
          <w:tcW w:w="2608" w:type="dxa"/>
          <w:gridSpan w:val="2"/>
        </w:tcPr>
        <w:p w:rsidR="002C3EB2" w:rsidRDefault="002C3EB2">
          <w:pPr>
            <w:pStyle w:val="Yltunniste"/>
            <w:tabs>
              <w:tab w:val="clear" w:pos="4819"/>
              <w:tab w:val="clear" w:pos="9638"/>
            </w:tabs>
            <w:spacing w:before="100"/>
          </w:pPr>
        </w:p>
      </w:tc>
      <w:tc>
        <w:tcPr>
          <w:tcW w:w="1304" w:type="dxa"/>
        </w:tcPr>
        <w:p w:rsidR="002C3EB2" w:rsidRDefault="002C3EB2">
          <w:pPr>
            <w:pStyle w:val="Yltunniste"/>
            <w:tabs>
              <w:tab w:val="clear" w:pos="4819"/>
              <w:tab w:val="clear" w:pos="9638"/>
            </w:tabs>
            <w:spacing w:before="100"/>
          </w:pPr>
        </w:p>
      </w:tc>
      <w:tc>
        <w:tcPr>
          <w:tcW w:w="1687" w:type="dxa"/>
        </w:tcPr>
        <w:p w:rsidR="002C3EB2" w:rsidRDefault="002C3EB2">
          <w:pPr>
            <w:pStyle w:val="Yltunniste"/>
            <w:tabs>
              <w:tab w:val="clear" w:pos="4819"/>
              <w:tab w:val="clear" w:pos="9638"/>
            </w:tabs>
            <w:spacing w:before="100"/>
          </w:pPr>
        </w:p>
      </w:tc>
      <w:tc>
        <w:tcPr>
          <w:tcW w:w="2126" w:type="dxa"/>
        </w:tcPr>
        <w:p w:rsidR="002C3EB2" w:rsidRDefault="002C3EB2">
          <w:pPr>
            <w:pStyle w:val="Yltunniste"/>
            <w:tabs>
              <w:tab w:val="clear" w:pos="4819"/>
              <w:tab w:val="clear" w:pos="9638"/>
            </w:tabs>
            <w:spacing w:before="100"/>
          </w:pPr>
        </w:p>
      </w:tc>
      <w:tc>
        <w:tcPr>
          <w:tcW w:w="1276" w:type="dxa"/>
        </w:tcPr>
        <w:p w:rsidR="002C3EB2" w:rsidRDefault="002C3EB2">
          <w:pPr>
            <w:pStyle w:val="Yltunniste"/>
            <w:tabs>
              <w:tab w:val="clear" w:pos="4819"/>
              <w:tab w:val="clear" w:pos="9638"/>
            </w:tabs>
            <w:spacing w:before="100"/>
          </w:pPr>
        </w:p>
      </w:tc>
      <w:tc>
        <w:tcPr>
          <w:tcW w:w="1050" w:type="dxa"/>
          <w:gridSpan w:val="2"/>
        </w:tcPr>
        <w:p w:rsidR="002C3EB2" w:rsidRDefault="002C3EB2">
          <w:pPr>
            <w:pStyle w:val="Yltunniste"/>
            <w:tabs>
              <w:tab w:val="clear" w:pos="4819"/>
              <w:tab w:val="clear" w:pos="9638"/>
            </w:tabs>
            <w:spacing w:before="100"/>
          </w:pPr>
          <w:r>
            <w:rPr>
              <w:rStyle w:val="Sivunumero"/>
            </w:rPr>
            <w:fldChar w:fldCharType="begin"/>
          </w:r>
          <w:r>
            <w:rPr>
              <w:rStyle w:val="Sivunumero"/>
            </w:rPr>
            <w:instrText xml:space="preserve"> PAGE </w:instrText>
          </w:r>
          <w:r>
            <w:rPr>
              <w:rStyle w:val="Sivunumero"/>
            </w:rPr>
            <w:fldChar w:fldCharType="separate"/>
          </w:r>
          <w:r w:rsidR="00AE4D19">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AE4D19">
            <w:rPr>
              <w:rStyle w:val="Sivunumero"/>
              <w:noProof/>
            </w:rPr>
            <w:t>3</w:t>
          </w:r>
          <w:r>
            <w:rPr>
              <w:rStyle w:val="Sivunumero"/>
            </w:rPr>
            <w:fldChar w:fldCharType="end"/>
          </w:r>
          <w:r>
            <w:rPr>
              <w:rStyle w:val="Sivunumero"/>
            </w:rPr>
            <w:t>)</w:t>
          </w:r>
        </w:p>
      </w:tc>
    </w:tr>
  </w:tbl>
  <w:p w:rsidR="002C3EB2" w:rsidRDefault="002C3EB2">
    <w:pPr>
      <w:pStyle w:val="Yltunniste"/>
    </w:pPr>
  </w:p>
  <w:p w:rsidR="002C3EB2" w:rsidRDefault="002C3EB2">
    <w:pPr>
      <w:pStyle w:val="Yltunniste"/>
      <w:rPr>
        <w:rStyle w:val="Sivunume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5B"/>
    <w:rsid w:val="0000349D"/>
    <w:rsid w:val="00004994"/>
    <w:rsid w:val="000050B0"/>
    <w:rsid w:val="00046AF9"/>
    <w:rsid w:val="00055A6F"/>
    <w:rsid w:val="00060D27"/>
    <w:rsid w:val="00071DEC"/>
    <w:rsid w:val="000C2538"/>
    <w:rsid w:val="000C5F98"/>
    <w:rsid w:val="000D017E"/>
    <w:rsid w:val="000F00BB"/>
    <w:rsid w:val="001147B5"/>
    <w:rsid w:val="00120493"/>
    <w:rsid w:val="001376D7"/>
    <w:rsid w:val="00160620"/>
    <w:rsid w:val="001958E7"/>
    <w:rsid w:val="001A1D7B"/>
    <w:rsid w:val="001A43E0"/>
    <w:rsid w:val="001D0F08"/>
    <w:rsid w:val="001D26FE"/>
    <w:rsid w:val="001E212F"/>
    <w:rsid w:val="001F705F"/>
    <w:rsid w:val="00200529"/>
    <w:rsid w:val="00200FC2"/>
    <w:rsid w:val="00204C7B"/>
    <w:rsid w:val="00211AC3"/>
    <w:rsid w:val="0021692E"/>
    <w:rsid w:val="00227AFC"/>
    <w:rsid w:val="002309B4"/>
    <w:rsid w:val="00240CB8"/>
    <w:rsid w:val="00243496"/>
    <w:rsid w:val="002604F3"/>
    <w:rsid w:val="00280EF4"/>
    <w:rsid w:val="002873CC"/>
    <w:rsid w:val="00287AA4"/>
    <w:rsid w:val="002B1718"/>
    <w:rsid w:val="002C3EB2"/>
    <w:rsid w:val="002C7650"/>
    <w:rsid w:val="002D1748"/>
    <w:rsid w:val="002D2BDA"/>
    <w:rsid w:val="002E5A4D"/>
    <w:rsid w:val="002F18E4"/>
    <w:rsid w:val="002F38E6"/>
    <w:rsid w:val="002F6110"/>
    <w:rsid w:val="002F71B6"/>
    <w:rsid w:val="00305500"/>
    <w:rsid w:val="00326AE8"/>
    <w:rsid w:val="00331E61"/>
    <w:rsid w:val="00332A79"/>
    <w:rsid w:val="003359D6"/>
    <w:rsid w:val="00355BD6"/>
    <w:rsid w:val="00357214"/>
    <w:rsid w:val="00365263"/>
    <w:rsid w:val="00367C96"/>
    <w:rsid w:val="00371144"/>
    <w:rsid w:val="00372A2D"/>
    <w:rsid w:val="00377216"/>
    <w:rsid w:val="003964B2"/>
    <w:rsid w:val="003A46BE"/>
    <w:rsid w:val="003B54EB"/>
    <w:rsid w:val="003C06AF"/>
    <w:rsid w:val="003C163B"/>
    <w:rsid w:val="003C3CFC"/>
    <w:rsid w:val="003C58AA"/>
    <w:rsid w:val="004060D5"/>
    <w:rsid w:val="0041326B"/>
    <w:rsid w:val="0043346E"/>
    <w:rsid w:val="004431FE"/>
    <w:rsid w:val="0044669E"/>
    <w:rsid w:val="0045199A"/>
    <w:rsid w:val="004726FF"/>
    <w:rsid w:val="00484A79"/>
    <w:rsid w:val="00490AE9"/>
    <w:rsid w:val="00490FAA"/>
    <w:rsid w:val="0049398E"/>
    <w:rsid w:val="00496296"/>
    <w:rsid w:val="00496865"/>
    <w:rsid w:val="004A38B2"/>
    <w:rsid w:val="004B1BAB"/>
    <w:rsid w:val="004C28F5"/>
    <w:rsid w:val="004D2E61"/>
    <w:rsid w:val="005151E8"/>
    <w:rsid w:val="005432FE"/>
    <w:rsid w:val="00563B43"/>
    <w:rsid w:val="0057788E"/>
    <w:rsid w:val="00592009"/>
    <w:rsid w:val="005A2162"/>
    <w:rsid w:val="005A30A8"/>
    <w:rsid w:val="005A5527"/>
    <w:rsid w:val="005A7CA3"/>
    <w:rsid w:val="005C36F9"/>
    <w:rsid w:val="005E00D7"/>
    <w:rsid w:val="005F432C"/>
    <w:rsid w:val="00622C78"/>
    <w:rsid w:val="00632934"/>
    <w:rsid w:val="00635C60"/>
    <w:rsid w:val="00637FDF"/>
    <w:rsid w:val="00640E53"/>
    <w:rsid w:val="00642E63"/>
    <w:rsid w:val="0064619E"/>
    <w:rsid w:val="00655473"/>
    <w:rsid w:val="00662E5D"/>
    <w:rsid w:val="006678F9"/>
    <w:rsid w:val="006776BC"/>
    <w:rsid w:val="006813BF"/>
    <w:rsid w:val="00681998"/>
    <w:rsid w:val="00687217"/>
    <w:rsid w:val="006952BD"/>
    <w:rsid w:val="006A6165"/>
    <w:rsid w:val="006B35E3"/>
    <w:rsid w:val="006B4905"/>
    <w:rsid w:val="006D6DA6"/>
    <w:rsid w:val="006E444A"/>
    <w:rsid w:val="006E5036"/>
    <w:rsid w:val="0071515B"/>
    <w:rsid w:val="0072183D"/>
    <w:rsid w:val="0072736E"/>
    <w:rsid w:val="007347D7"/>
    <w:rsid w:val="007439DF"/>
    <w:rsid w:val="00754B7B"/>
    <w:rsid w:val="00757B9A"/>
    <w:rsid w:val="00761995"/>
    <w:rsid w:val="00765C02"/>
    <w:rsid w:val="007672D2"/>
    <w:rsid w:val="007729A5"/>
    <w:rsid w:val="00781912"/>
    <w:rsid w:val="00793B98"/>
    <w:rsid w:val="00797C34"/>
    <w:rsid w:val="007A4FA1"/>
    <w:rsid w:val="007B5BD0"/>
    <w:rsid w:val="007D18E4"/>
    <w:rsid w:val="007F344A"/>
    <w:rsid w:val="00810877"/>
    <w:rsid w:val="00840FE6"/>
    <w:rsid w:val="0085621E"/>
    <w:rsid w:val="008632EE"/>
    <w:rsid w:val="00865A9D"/>
    <w:rsid w:val="00884688"/>
    <w:rsid w:val="008B22DF"/>
    <w:rsid w:val="008B25B5"/>
    <w:rsid w:val="008B44E3"/>
    <w:rsid w:val="008C664C"/>
    <w:rsid w:val="008D4B03"/>
    <w:rsid w:val="008D62A7"/>
    <w:rsid w:val="009000A4"/>
    <w:rsid w:val="00915FFA"/>
    <w:rsid w:val="009160EC"/>
    <w:rsid w:val="009247D1"/>
    <w:rsid w:val="009252D3"/>
    <w:rsid w:val="0093488C"/>
    <w:rsid w:val="009429AE"/>
    <w:rsid w:val="0094441B"/>
    <w:rsid w:val="009578B0"/>
    <w:rsid w:val="00970102"/>
    <w:rsid w:val="0097028D"/>
    <w:rsid w:val="00973994"/>
    <w:rsid w:val="00997BE1"/>
    <w:rsid w:val="009A4207"/>
    <w:rsid w:val="009A73F4"/>
    <w:rsid w:val="009C0698"/>
    <w:rsid w:val="009C4644"/>
    <w:rsid w:val="009E3379"/>
    <w:rsid w:val="009E480F"/>
    <w:rsid w:val="009F1D1E"/>
    <w:rsid w:val="00A1603C"/>
    <w:rsid w:val="00A17B01"/>
    <w:rsid w:val="00A364E6"/>
    <w:rsid w:val="00A36604"/>
    <w:rsid w:val="00A366D7"/>
    <w:rsid w:val="00A43A9F"/>
    <w:rsid w:val="00A45673"/>
    <w:rsid w:val="00A609E7"/>
    <w:rsid w:val="00A728F4"/>
    <w:rsid w:val="00A874C2"/>
    <w:rsid w:val="00A92B05"/>
    <w:rsid w:val="00A957C0"/>
    <w:rsid w:val="00AA5282"/>
    <w:rsid w:val="00AB3BD7"/>
    <w:rsid w:val="00AC7EB8"/>
    <w:rsid w:val="00AD56D7"/>
    <w:rsid w:val="00AD63C0"/>
    <w:rsid w:val="00AE4D19"/>
    <w:rsid w:val="00AF679D"/>
    <w:rsid w:val="00B02A97"/>
    <w:rsid w:val="00B17FDD"/>
    <w:rsid w:val="00B35996"/>
    <w:rsid w:val="00B449C8"/>
    <w:rsid w:val="00B7001E"/>
    <w:rsid w:val="00B82268"/>
    <w:rsid w:val="00B83985"/>
    <w:rsid w:val="00B86722"/>
    <w:rsid w:val="00B92851"/>
    <w:rsid w:val="00BA0852"/>
    <w:rsid w:val="00BB097C"/>
    <w:rsid w:val="00BB1254"/>
    <w:rsid w:val="00BB344C"/>
    <w:rsid w:val="00BC6652"/>
    <w:rsid w:val="00BE1D0E"/>
    <w:rsid w:val="00BE41EA"/>
    <w:rsid w:val="00BF2EDC"/>
    <w:rsid w:val="00BF5F9C"/>
    <w:rsid w:val="00C02391"/>
    <w:rsid w:val="00C36FB2"/>
    <w:rsid w:val="00C54FF9"/>
    <w:rsid w:val="00C603AC"/>
    <w:rsid w:val="00C6118D"/>
    <w:rsid w:val="00C6291B"/>
    <w:rsid w:val="00C637CE"/>
    <w:rsid w:val="00C7395E"/>
    <w:rsid w:val="00C85F23"/>
    <w:rsid w:val="00C952CF"/>
    <w:rsid w:val="00CB1748"/>
    <w:rsid w:val="00CB63EF"/>
    <w:rsid w:val="00CC096C"/>
    <w:rsid w:val="00CC0AD2"/>
    <w:rsid w:val="00CC58E5"/>
    <w:rsid w:val="00CD58BB"/>
    <w:rsid w:val="00CE1292"/>
    <w:rsid w:val="00CF17A9"/>
    <w:rsid w:val="00D01861"/>
    <w:rsid w:val="00D4013A"/>
    <w:rsid w:val="00D658F1"/>
    <w:rsid w:val="00D72C42"/>
    <w:rsid w:val="00D76E38"/>
    <w:rsid w:val="00D8673B"/>
    <w:rsid w:val="00DA2C58"/>
    <w:rsid w:val="00DA3A5B"/>
    <w:rsid w:val="00DA6455"/>
    <w:rsid w:val="00DB463E"/>
    <w:rsid w:val="00DD0D34"/>
    <w:rsid w:val="00DD2B71"/>
    <w:rsid w:val="00DE136F"/>
    <w:rsid w:val="00DF0044"/>
    <w:rsid w:val="00DF282E"/>
    <w:rsid w:val="00E06059"/>
    <w:rsid w:val="00E1365D"/>
    <w:rsid w:val="00E16D55"/>
    <w:rsid w:val="00E2409F"/>
    <w:rsid w:val="00E30833"/>
    <w:rsid w:val="00E30936"/>
    <w:rsid w:val="00E3273F"/>
    <w:rsid w:val="00E42B15"/>
    <w:rsid w:val="00E53000"/>
    <w:rsid w:val="00E543F0"/>
    <w:rsid w:val="00E572CD"/>
    <w:rsid w:val="00E83959"/>
    <w:rsid w:val="00E9344F"/>
    <w:rsid w:val="00EA36FF"/>
    <w:rsid w:val="00EA68E8"/>
    <w:rsid w:val="00EB3E99"/>
    <w:rsid w:val="00EC1B6F"/>
    <w:rsid w:val="00ED6FFC"/>
    <w:rsid w:val="00EE0BCA"/>
    <w:rsid w:val="00F033C0"/>
    <w:rsid w:val="00F125C7"/>
    <w:rsid w:val="00F13186"/>
    <w:rsid w:val="00F21710"/>
    <w:rsid w:val="00F2173F"/>
    <w:rsid w:val="00F2456A"/>
    <w:rsid w:val="00F35F4D"/>
    <w:rsid w:val="00F4493B"/>
    <w:rsid w:val="00F5756B"/>
    <w:rsid w:val="00F620A8"/>
    <w:rsid w:val="00F8301E"/>
    <w:rsid w:val="00FA2F66"/>
    <w:rsid w:val="00FB3541"/>
    <w:rsid w:val="00FD492F"/>
    <w:rsid w:val="00FE4015"/>
    <w:rsid w:val="00FF25BA"/>
    <w:rsid w:val="00FF4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link w:val="Otsikko1Char"/>
    <w:qFormat/>
    <w:rPr>
      <w:rFonts w:ascii="Arial" w:hAnsi="Arial" w:cs="Arial"/>
      <w:snapToGrid w:val="0"/>
      <w:sz w:val="22"/>
      <w:szCs w:val="22"/>
    </w:rPr>
  </w:style>
  <w:style w:type="paragraph" w:styleId="Otsikko1">
    <w:name w:val="heading 1"/>
    <w:basedOn w:val="Normaali"/>
    <w:next w:val="Normaali"/>
    <w:qFormat/>
    <w:pPr>
      <w:keepNext/>
      <w:widowControl w:val="0"/>
      <w:spacing w:before="240" w:after="60"/>
      <w:outlineLvl w:val="0"/>
    </w:pPr>
    <w:rPr>
      <w:b/>
      <w:bCs/>
      <w:snapToGrid/>
      <w:kern w:val="28"/>
      <w:sz w:val="28"/>
      <w:szCs w:val="28"/>
      <w:lang w:val="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styleId="Alatunniste">
    <w:name w:val="footer"/>
    <w:basedOn w:val="Normaali"/>
    <w:pPr>
      <w:tabs>
        <w:tab w:val="center" w:pos="4819"/>
        <w:tab w:val="right" w:pos="9638"/>
      </w:tabs>
    </w:pPr>
  </w:style>
  <w:style w:type="paragraph" w:customStyle="1" w:styleId="Riippuvasisennys">
    <w:name w:val="Riippuva sisennys"/>
    <w:basedOn w:val="Normaali"/>
    <w:pPr>
      <w:spacing w:after="240"/>
      <w:ind w:left="2608" w:hanging="2608"/>
    </w:pPr>
  </w:style>
  <w:style w:type="character" w:customStyle="1" w:styleId="Otsikko1Char">
    <w:name w:val="Otsikko 1 Char"/>
    <w:basedOn w:val="Kappaleenoletusfontti"/>
    <w:locked/>
    <w:rPr>
      <w:rFonts w:ascii="Arial" w:hAnsi="Arial" w:cs="Arial"/>
      <w:b/>
      <w:bCs/>
      <w:snapToGrid w:val="0"/>
      <w:kern w:val="28"/>
      <w:sz w:val="28"/>
      <w:szCs w:val="28"/>
      <w:lang w:val="en-US"/>
    </w:rPr>
  </w:style>
  <w:style w:type="paragraph" w:styleId="Seliteteksti">
    <w:name w:val="Balloon Text"/>
    <w:basedOn w:val="Normaali"/>
    <w:semiHidden/>
    <w:rPr>
      <w:rFonts w:ascii="Times New Roman" w:hAnsi="Times New Roman" w:cs="Times New Roman"/>
      <w:sz w:val="16"/>
      <w:szCs w:val="16"/>
    </w:rPr>
  </w:style>
  <w:style w:type="paragraph" w:styleId="Leipteksti">
    <w:name w:val="Body Text"/>
    <w:basedOn w:val="Normaali"/>
    <w:pPr>
      <w:tabs>
        <w:tab w:val="left" w:pos="-1317"/>
        <w:tab w:val="left" w:pos="1520"/>
        <w:tab w:val="left" w:pos="2238"/>
        <w:tab w:val="left" w:pos="2970"/>
        <w:tab w:val="left" w:pos="3702"/>
        <w:tab w:val="left" w:pos="4434"/>
        <w:tab w:val="left" w:pos="5166"/>
        <w:tab w:val="left" w:pos="5898"/>
        <w:tab w:val="left" w:pos="6630"/>
        <w:tab w:val="left" w:pos="7362"/>
        <w:tab w:val="left" w:pos="8094"/>
        <w:tab w:val="left" w:pos="8826"/>
      </w:tabs>
      <w:spacing w:before="360"/>
    </w:pPr>
    <w:rPr>
      <w:snapToGrid/>
      <w:sz w:val="26"/>
      <w:szCs w:val="26"/>
    </w:rPr>
  </w:style>
  <w:style w:type="character" w:customStyle="1" w:styleId="CharChar1">
    <w:name w:val="Char Char1"/>
    <w:basedOn w:val="Kappaleenoletusfontti"/>
    <w:locked/>
    <w:rPr>
      <w:rFonts w:ascii="Arial" w:hAnsi="Arial" w:cs="Arial"/>
      <w:sz w:val="22"/>
      <w:szCs w:val="22"/>
      <w:lang w:val="fi-FI"/>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link w:val="Otsikko1Char"/>
    <w:qFormat/>
    <w:rPr>
      <w:rFonts w:ascii="Arial" w:hAnsi="Arial" w:cs="Arial"/>
      <w:snapToGrid w:val="0"/>
      <w:sz w:val="22"/>
      <w:szCs w:val="22"/>
    </w:rPr>
  </w:style>
  <w:style w:type="paragraph" w:styleId="Otsikko1">
    <w:name w:val="heading 1"/>
    <w:basedOn w:val="Normaali"/>
    <w:next w:val="Normaali"/>
    <w:qFormat/>
    <w:pPr>
      <w:keepNext/>
      <w:widowControl w:val="0"/>
      <w:spacing w:before="240" w:after="60"/>
      <w:outlineLvl w:val="0"/>
    </w:pPr>
    <w:rPr>
      <w:b/>
      <w:bCs/>
      <w:snapToGrid/>
      <w:kern w:val="28"/>
      <w:sz w:val="28"/>
      <w:szCs w:val="28"/>
      <w:lang w:val="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styleId="Alatunniste">
    <w:name w:val="footer"/>
    <w:basedOn w:val="Normaali"/>
    <w:pPr>
      <w:tabs>
        <w:tab w:val="center" w:pos="4819"/>
        <w:tab w:val="right" w:pos="9638"/>
      </w:tabs>
    </w:pPr>
  </w:style>
  <w:style w:type="paragraph" w:customStyle="1" w:styleId="Riippuvasisennys">
    <w:name w:val="Riippuva sisennys"/>
    <w:basedOn w:val="Normaali"/>
    <w:pPr>
      <w:spacing w:after="240"/>
      <w:ind w:left="2608" w:hanging="2608"/>
    </w:pPr>
  </w:style>
  <w:style w:type="character" w:customStyle="1" w:styleId="Otsikko1Char">
    <w:name w:val="Otsikko 1 Char"/>
    <w:basedOn w:val="Kappaleenoletusfontti"/>
    <w:locked/>
    <w:rPr>
      <w:rFonts w:ascii="Arial" w:hAnsi="Arial" w:cs="Arial"/>
      <w:b/>
      <w:bCs/>
      <w:snapToGrid w:val="0"/>
      <w:kern w:val="28"/>
      <w:sz w:val="28"/>
      <w:szCs w:val="28"/>
      <w:lang w:val="en-US"/>
    </w:rPr>
  </w:style>
  <w:style w:type="paragraph" w:styleId="Seliteteksti">
    <w:name w:val="Balloon Text"/>
    <w:basedOn w:val="Normaali"/>
    <w:semiHidden/>
    <w:rPr>
      <w:rFonts w:ascii="Times New Roman" w:hAnsi="Times New Roman" w:cs="Times New Roman"/>
      <w:sz w:val="16"/>
      <w:szCs w:val="16"/>
    </w:rPr>
  </w:style>
  <w:style w:type="paragraph" w:styleId="Leipteksti">
    <w:name w:val="Body Text"/>
    <w:basedOn w:val="Normaali"/>
    <w:pPr>
      <w:tabs>
        <w:tab w:val="left" w:pos="-1317"/>
        <w:tab w:val="left" w:pos="1520"/>
        <w:tab w:val="left" w:pos="2238"/>
        <w:tab w:val="left" w:pos="2970"/>
        <w:tab w:val="left" w:pos="3702"/>
        <w:tab w:val="left" w:pos="4434"/>
        <w:tab w:val="left" w:pos="5166"/>
        <w:tab w:val="left" w:pos="5898"/>
        <w:tab w:val="left" w:pos="6630"/>
        <w:tab w:val="left" w:pos="7362"/>
        <w:tab w:val="left" w:pos="8094"/>
        <w:tab w:val="left" w:pos="8826"/>
      </w:tabs>
      <w:spacing w:before="360"/>
    </w:pPr>
    <w:rPr>
      <w:snapToGrid/>
      <w:sz w:val="26"/>
      <w:szCs w:val="26"/>
    </w:rPr>
  </w:style>
  <w:style w:type="character" w:customStyle="1" w:styleId="CharChar1">
    <w:name w:val="Char Char1"/>
    <w:basedOn w:val="Kappaleenoletusfontti"/>
    <w:locked/>
    <w:rPr>
      <w:rFonts w:ascii="Arial" w:hAnsi="Arial" w:cs="Arial"/>
      <w:sz w:val="22"/>
      <w:szCs w:val="22"/>
      <w:lang w:val="fi-FI"/>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da35f-1397-4600-a511-b2a9830ff4f4"/>
    <KN2KeywordsTaxHTField0 xmlns="fceda35f-1397-4600-a511-b2a9830ff4f4">
      <Terms xmlns="http://schemas.microsoft.com/office/infopath/2007/PartnerControls"/>
    </KN2KeywordsTaxHTField0>
    <ThemeTaxHTField0 xmlns="fceda35f-1397-4600-a511-b2a9830ff4f4">
      <Terms xmlns="http://schemas.microsoft.com/office/infopath/2007/PartnerControls"/>
    </ThemeTaxHTField0>
    <KN2Description xmlns="a86a36f1-5a8f-416f-bf33-cf6bc51d313a" xsi:nil="true"/>
    <_dlc_DocId xmlns="fceda35f-1397-4600-a511-b2a9830ff4f4">E6NQPWJF6HVP-810-33</_dlc_DocId>
    <_dlc_DocIdUrl xmlns="fceda35f-1397-4600-a511-b2a9830ff4f4">
      <Url>http://kt.kl-spfarm1/sv/aktuellt/cirkular/2010/_layouts/DocIdRedir.aspx?ID=E6NQPWJF6HVP-810-33</Url>
      <Description>E6NQPWJF6HVP-810-33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T Dokumentti" ma:contentTypeID="0x0101002FA37F67D4F743B58072EF43E0A938D600D2B4E466BC02C943AD8BDC170F42A9DF" ma:contentTypeVersion="5" ma:contentTypeDescription="KT Dokumentti sisältölaji." ma:contentTypeScope="" ma:versionID="0114fe067b18ef01802c2ebd514e8bd5">
  <xsd:schema xmlns:xsd="http://www.w3.org/2001/XMLSchema" xmlns:xs="http://www.w3.org/2001/XMLSchema" xmlns:p="http://schemas.microsoft.com/office/2006/metadata/properties" xmlns:ns2="a86a36f1-5a8f-416f-bf33-cf6bc51d313a" xmlns:ns3="fceda35f-1397-4600-a511-b2a9830ff4f4" targetNamespace="http://schemas.microsoft.com/office/2006/metadata/properties" ma:root="true" ma:fieldsID="82c7fc4a5c5a60bdbdd2f69398e3b4c5" ns2:_="" ns3:_="">
    <xsd:import namespace="a86a36f1-5a8f-416f-bf33-cf6bc51d313a"/>
    <xsd:import namespace="fceda35f-1397-4600-a511-b2a9830ff4f4"/>
    <xsd:element name="properties">
      <xsd:complexType>
        <xsd:sequence>
          <xsd:element name="documentManagement">
            <xsd:complexType>
              <xsd:all>
                <xsd:element ref="ns2:KN2Description" minOccurs="0"/>
                <xsd:element ref="ns3:KN2KeywordsTaxHTField0" minOccurs="0"/>
                <xsd:element ref="ns3:TaxCatchAll" minOccurs="0"/>
                <xsd:element ref="ns3:TaxCatchAllLabel" minOccurs="0"/>
                <xsd:element ref="ns3:Theme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36f1-5a8f-416f-bf33-cf6bc51d313a" elementFormDefault="qualified">
    <xsd:import namespace="http://schemas.microsoft.com/office/2006/documentManagement/types"/>
    <xsd:import namespace="http://schemas.microsoft.com/office/infopath/2007/PartnerControls"/>
    <xsd:element name="KN2Description" ma:index="8" nillable="true" ma:displayName="Kuvausteksti" ma:internalName="KN2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da35f-1397-4600-a511-b2a9830ff4f4" elementFormDefault="qualified">
    <xsd:import namespace="http://schemas.microsoft.com/office/2006/documentManagement/types"/>
    <xsd:import namespace="http://schemas.microsoft.com/office/infopath/2007/PartnerControls"/>
    <xsd:element name="KN2KeywordsTaxHTField0" ma:index="9" nillable="true" ma:taxonomy="true" ma:internalName="KN2KeywordsTaxHTField0" ma:taxonomyFieldName="KN2Keywords" ma:displayName="Asiasanat" ma:fieldId="{743a4267-6bc5-4719-a434-42c58260f359}" ma:taxonomyMulti="true" ma:sspId="af6aced0-8844-4989-b18d-bf2834524db8" ma:termSetId="1b86b395-74cd-4831-bbe4-19296048be4b" ma:anchorId="00000000-0000-0000-0000-000000000000" ma:open="false" ma:isKeyword="false">
      <xsd:complexType>
        <xsd:sequence>
          <xsd:element ref="pc:Terms" minOccurs="0" maxOccurs="1"/>
        </xsd:sequence>
      </xsd:complexType>
    </xsd:element>
    <xsd:element name="TaxCatchAll" ma:index="10" nillable="true" ma:displayName="Luokituksen Kaikki-sarake" ma:description="" ma:hidden="true" ma:list="{974a67bc-2b7e-4bca-aa03-381cfeb6ce01}" ma:internalName="TaxCatchAll" ma:showField="CatchAllData"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Luokituksen Kaikki-sarake1" ma:description="" ma:hidden="true" ma:list="{974a67bc-2b7e-4bca-aa03-381cfeb6ce01}" ma:internalName="TaxCatchAllLabel" ma:readOnly="true" ma:showField="CatchAllDataLabel"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hemeTaxHTField0" ma:index="13" nillable="true" ma:taxonomy="true" ma:internalName="ThemeTaxHTField0" ma:taxonomyFieldName="Theme" ma:displayName="Teemat" ma:fieldId="{e669c4f7-28f0-4bda-ae08-f312983233ee}" ma:taxonomyMulti="true" ma:sspId="af6aced0-8844-4989-b18d-bf2834524db8" ma:termSetId="75b7cd61-4408-4d77-8374-d2cb507445cc" ma:anchorId="00000000-0000-0000-0000-000000000000" ma:open="false" ma:isKeyword="false">
      <xsd:complexType>
        <xsd:sequence>
          <xsd:element ref="pc:Terms" minOccurs="0" maxOccurs="1"/>
        </xsd:sequence>
      </xsd:complex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F557E-3C90-41BC-B99C-ACA99C32151F}"/>
</file>

<file path=customXml/itemProps2.xml><?xml version="1.0" encoding="utf-8"?>
<ds:datastoreItem xmlns:ds="http://schemas.openxmlformats.org/officeDocument/2006/customXml" ds:itemID="{FBBDABE9-966A-45B5-9611-CB0C2462E418}"/>
</file>

<file path=customXml/itemProps3.xml><?xml version="1.0" encoding="utf-8"?>
<ds:datastoreItem xmlns:ds="http://schemas.openxmlformats.org/officeDocument/2006/customXml" ds:itemID="{47826606-D502-4756-9A35-295A72571193}"/>
</file>

<file path=customXml/itemProps4.xml><?xml version="1.0" encoding="utf-8"?>
<ds:datastoreItem xmlns:ds="http://schemas.openxmlformats.org/officeDocument/2006/customXml" ds:itemID="{1758FF07-8998-410F-AE6D-5C5A49AE0BD9}"/>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5395</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KUNNALLISEN TUNTIPALKKAISEN HENKILÖSTÖN </vt:lpstr>
    </vt:vector>
  </TitlesOfParts>
  <Company>Kunnallinen Työmarkkinalaitos</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0310 bilaga 1</dc:title>
  <dc:creator>kttesti</dc:creator>
  <cp:lastModifiedBy>Lilja Satu</cp:lastModifiedBy>
  <cp:revision>2</cp:revision>
  <cp:lastPrinted>2010-02-23T07:58:00Z</cp:lastPrinted>
  <dcterms:created xsi:type="dcterms:W3CDTF">2010-12-15T14:46:00Z</dcterms:created>
  <dcterms:modified xsi:type="dcterms:W3CDTF">2010-12-15T14:46:00Z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0x0101002FA37F67D4F743B58072EF43E0A938D600D2B4E466BC02C943AD8BDC170F42A9DF</vt:lpwstr>
  </property>
  <property fmtid="{D5CDD505-2E9C-101B-9397-08002B2CF9AE}" pid="3" name="KN2Keywords">
    <vt:lpwstr/>
  </property>
  <property fmtid="{D5CDD505-2E9C-101B-9397-08002B2CF9AE}" pid="4" name="Theme">
    <vt:lpwstr/>
  </property>
  <property fmtid="{D5CDD505-2E9C-101B-9397-08002B2CF9AE}" pid="5" name="_dlc_DocIdItemGuid">
    <vt:lpwstr>d57f6c79-2f04-4ca5-ac29-fe578b0c505c</vt:lpwstr>
  </property>
</Properties>
</file>